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374" w:rsidRDefault="00EF5374" w:rsidP="004B4558">
      <w:pPr>
        <w:pStyle w:val="MDPI12title"/>
        <w:jc w:val="center"/>
        <w:rPr>
          <w:rFonts w:asciiTheme="majorBidi" w:hAnsiTheme="majorBidi" w:cstheme="majorBidi"/>
          <w:sz w:val="28"/>
          <w:szCs w:val="28"/>
          <w:lang w:val="en-GB"/>
        </w:rPr>
      </w:pPr>
      <w:r w:rsidRPr="00EF5374">
        <w:rPr>
          <w:rFonts w:asciiTheme="majorBidi" w:hAnsiTheme="majorBidi" w:cstheme="majorBidi"/>
          <w:sz w:val="28"/>
          <w:szCs w:val="28"/>
          <w:lang w:val="en-GB"/>
        </w:rPr>
        <w:t xml:space="preserve">Superparamagnetic nanoparticles </w:t>
      </w:r>
      <w:r w:rsidR="004B4558">
        <w:rPr>
          <w:rFonts w:asciiTheme="majorBidi" w:hAnsiTheme="majorBidi" w:cstheme="majorBidi"/>
          <w:sz w:val="28"/>
          <w:szCs w:val="28"/>
          <w:lang w:val="en-GB"/>
        </w:rPr>
        <w:t xml:space="preserve">SPIONs </w:t>
      </w:r>
      <w:r w:rsidRPr="00EF5374">
        <w:rPr>
          <w:rFonts w:asciiTheme="majorBidi" w:hAnsiTheme="majorBidi" w:cstheme="majorBidi"/>
          <w:sz w:val="28"/>
          <w:szCs w:val="28"/>
          <w:lang w:val="en-GB"/>
        </w:rPr>
        <w:t xml:space="preserve">for the Development of Blood-Stage Malaria </w:t>
      </w:r>
      <w:r w:rsidR="004B4558" w:rsidRPr="00EF5374">
        <w:rPr>
          <w:rFonts w:asciiTheme="majorBidi" w:hAnsiTheme="majorBidi" w:cstheme="majorBidi"/>
          <w:sz w:val="28"/>
          <w:szCs w:val="28"/>
          <w:lang w:val="en-GB"/>
        </w:rPr>
        <w:t xml:space="preserve">DNA </w:t>
      </w:r>
      <w:r w:rsidRPr="00EF5374">
        <w:rPr>
          <w:rFonts w:asciiTheme="majorBidi" w:hAnsiTheme="majorBidi" w:cstheme="majorBidi"/>
          <w:sz w:val="28"/>
          <w:szCs w:val="28"/>
          <w:lang w:val="en-GB"/>
        </w:rPr>
        <w:t>Vaccines</w:t>
      </w:r>
    </w:p>
    <w:p w:rsidR="00B1718D" w:rsidRPr="008004C8" w:rsidRDefault="00B1718D" w:rsidP="00B1718D">
      <w:pPr>
        <w:jc w:val="center"/>
        <w:rPr>
          <w:rFonts w:asciiTheme="majorBidi" w:hAnsiTheme="majorBidi" w:cstheme="majorBidi"/>
          <w:b/>
          <w:bCs/>
        </w:rPr>
      </w:pPr>
      <w:r w:rsidRPr="008004C8">
        <w:rPr>
          <w:rFonts w:asciiTheme="majorBidi" w:hAnsiTheme="majorBidi" w:cstheme="majorBidi"/>
          <w:b/>
          <w:bCs/>
        </w:rPr>
        <w:t>Fatin M. Nawwab Al</w:t>
      </w:r>
      <w:r w:rsidRPr="008004C8">
        <w:rPr>
          <w:rFonts w:ascii="Cambria Math" w:hAnsi="Cambria Math" w:cs="Cambria Math"/>
          <w:b/>
          <w:bCs/>
        </w:rPr>
        <w:t>‐</w:t>
      </w:r>
      <w:r w:rsidRPr="008004C8">
        <w:rPr>
          <w:rFonts w:asciiTheme="majorBidi" w:hAnsiTheme="majorBidi" w:cstheme="majorBidi"/>
          <w:b/>
          <w:bCs/>
        </w:rPr>
        <w:t>Deen</w:t>
      </w:r>
    </w:p>
    <w:p w:rsidR="00B1718D" w:rsidRPr="00357DF3" w:rsidRDefault="00B1718D" w:rsidP="00357DF3">
      <w:pPr>
        <w:autoSpaceDE w:val="0"/>
        <w:autoSpaceDN w:val="0"/>
        <w:adjustRightInd w:val="0"/>
        <w:spacing w:after="0" w:line="240" w:lineRule="auto"/>
        <w:jc w:val="center"/>
        <w:rPr>
          <w:rFonts w:asciiTheme="majorBidi" w:hAnsiTheme="majorBidi" w:cstheme="majorBidi"/>
          <w:sz w:val="18"/>
          <w:szCs w:val="18"/>
        </w:rPr>
      </w:pPr>
      <w:r w:rsidRPr="00357DF3">
        <w:rPr>
          <w:rFonts w:asciiTheme="majorBidi" w:hAnsiTheme="majorBidi" w:cstheme="majorBidi"/>
          <w:sz w:val="18"/>
          <w:szCs w:val="18"/>
        </w:rPr>
        <w:t>Department of Chemical Engineering, Monash University, 18 Alliance Lane, Clayton, VIC 3800, Australia;</w:t>
      </w:r>
    </w:p>
    <w:p w:rsidR="00B1718D" w:rsidRPr="00357DF3" w:rsidRDefault="0020309B" w:rsidP="00357DF3">
      <w:pPr>
        <w:jc w:val="center"/>
        <w:rPr>
          <w:rFonts w:asciiTheme="majorBidi" w:hAnsiTheme="majorBidi" w:cstheme="majorBidi"/>
          <w:sz w:val="18"/>
          <w:szCs w:val="18"/>
        </w:rPr>
      </w:pPr>
      <w:hyperlink r:id="rId4" w:history="1">
        <w:r w:rsidR="00B1718D" w:rsidRPr="00357DF3">
          <w:rPr>
            <w:rStyle w:val="Hyperlink"/>
            <w:rFonts w:asciiTheme="majorBidi" w:hAnsiTheme="majorBidi" w:cstheme="majorBidi"/>
            <w:sz w:val="18"/>
            <w:szCs w:val="18"/>
          </w:rPr>
          <w:t>fatin.mn70@gmail.com</w:t>
        </w:r>
      </w:hyperlink>
    </w:p>
    <w:p w:rsidR="00B1718D" w:rsidRPr="00357DF3" w:rsidRDefault="00B1718D" w:rsidP="00357DF3">
      <w:pPr>
        <w:autoSpaceDE w:val="0"/>
        <w:autoSpaceDN w:val="0"/>
        <w:adjustRightInd w:val="0"/>
        <w:spacing w:after="0" w:line="240" w:lineRule="auto"/>
        <w:jc w:val="center"/>
        <w:rPr>
          <w:rFonts w:asciiTheme="majorBidi" w:hAnsiTheme="majorBidi" w:cstheme="majorBidi"/>
          <w:sz w:val="18"/>
          <w:szCs w:val="18"/>
        </w:rPr>
      </w:pPr>
      <w:r w:rsidRPr="00357DF3">
        <w:rPr>
          <w:rFonts w:asciiTheme="majorBidi" w:hAnsiTheme="majorBidi" w:cstheme="majorBidi"/>
          <w:sz w:val="18"/>
          <w:szCs w:val="18"/>
        </w:rPr>
        <w:t>Current Address: Department of Animal resources, College of Agriculture, Kirkuk University,</w:t>
      </w:r>
    </w:p>
    <w:p w:rsidR="004D011E" w:rsidRPr="00357DF3" w:rsidRDefault="00B1718D" w:rsidP="00357DF3">
      <w:pPr>
        <w:jc w:val="center"/>
        <w:rPr>
          <w:rFonts w:asciiTheme="majorBidi" w:hAnsiTheme="majorBidi" w:cstheme="majorBidi"/>
          <w:sz w:val="18"/>
          <w:szCs w:val="18"/>
          <w:lang w:val="en-GB" w:eastAsia="de-DE" w:bidi="en-US"/>
        </w:rPr>
      </w:pPr>
      <w:r w:rsidRPr="00357DF3">
        <w:rPr>
          <w:rFonts w:asciiTheme="majorBidi" w:hAnsiTheme="majorBidi" w:cstheme="majorBidi"/>
          <w:sz w:val="18"/>
          <w:szCs w:val="18"/>
        </w:rPr>
        <w:t>Kirkuk, Iraq.</w:t>
      </w:r>
    </w:p>
    <w:p w:rsidR="00F26CA9" w:rsidRPr="006E17AB" w:rsidRDefault="00F26CA9" w:rsidP="00F26CA9">
      <w:pPr>
        <w:autoSpaceDE w:val="0"/>
        <w:autoSpaceDN w:val="0"/>
        <w:adjustRightInd w:val="0"/>
        <w:spacing w:after="0" w:line="240" w:lineRule="auto"/>
        <w:jc w:val="both"/>
        <w:rPr>
          <w:rFonts w:asciiTheme="majorBidi" w:hAnsiTheme="majorBidi" w:cstheme="majorBidi"/>
          <w:b/>
          <w:bCs/>
          <w:sz w:val="24"/>
          <w:szCs w:val="24"/>
        </w:rPr>
      </w:pPr>
      <w:r w:rsidRPr="006E17AB">
        <w:rPr>
          <w:rFonts w:asciiTheme="majorBidi" w:hAnsiTheme="majorBidi" w:cstheme="majorBidi"/>
          <w:b/>
          <w:bCs/>
          <w:sz w:val="24"/>
          <w:szCs w:val="24"/>
        </w:rPr>
        <w:t xml:space="preserve">Abstract </w:t>
      </w:r>
    </w:p>
    <w:p w:rsidR="00F26CA9" w:rsidRDefault="00F26CA9" w:rsidP="00F26CA9">
      <w:pPr>
        <w:autoSpaceDE w:val="0"/>
        <w:autoSpaceDN w:val="0"/>
        <w:adjustRightInd w:val="0"/>
        <w:spacing w:after="0" w:line="240" w:lineRule="auto"/>
        <w:jc w:val="both"/>
        <w:rPr>
          <w:rFonts w:asciiTheme="majorBidi" w:hAnsiTheme="majorBidi" w:cstheme="majorBidi"/>
          <w:sz w:val="24"/>
          <w:szCs w:val="24"/>
        </w:rPr>
      </w:pPr>
    </w:p>
    <w:p w:rsidR="00F26CA9" w:rsidRPr="00357DF3" w:rsidRDefault="00F26CA9" w:rsidP="004B7754">
      <w:pPr>
        <w:autoSpaceDE w:val="0"/>
        <w:autoSpaceDN w:val="0"/>
        <w:adjustRightInd w:val="0"/>
        <w:spacing w:after="0" w:line="240" w:lineRule="auto"/>
        <w:jc w:val="both"/>
        <w:rPr>
          <w:rFonts w:asciiTheme="majorBidi" w:hAnsiTheme="majorBidi" w:cstheme="majorBidi"/>
          <w:sz w:val="24"/>
          <w:szCs w:val="24"/>
        </w:rPr>
      </w:pPr>
      <w:r w:rsidRPr="00357DF3">
        <w:rPr>
          <w:rFonts w:asciiTheme="majorBidi" w:hAnsiTheme="majorBidi" w:cstheme="majorBidi"/>
          <w:sz w:val="24"/>
          <w:szCs w:val="24"/>
        </w:rPr>
        <w:t xml:space="preserve"> DNA vaccine is a promising therapeutic approach for treating diseases. However, a crucial feature in effective DNA vaccination is antigen delivery to the site of action. In this way, any delivery system having higher transfection efficacy and subsequent superior antibody production needs to be further investigated.</w:t>
      </w:r>
      <w:r w:rsidR="007B31EE" w:rsidRPr="00357DF3">
        <w:rPr>
          <w:rFonts w:asciiTheme="majorBidi" w:hAnsiTheme="majorBidi" w:cstheme="majorBidi"/>
        </w:rPr>
        <w:t xml:space="preserve"> </w:t>
      </w:r>
      <w:r w:rsidR="007B31EE" w:rsidRPr="00357DF3">
        <w:rPr>
          <w:rFonts w:asciiTheme="majorBidi" w:hAnsiTheme="majorBidi" w:cstheme="majorBidi"/>
          <w:sz w:val="24"/>
          <w:szCs w:val="24"/>
        </w:rPr>
        <w:t xml:space="preserve">Our previous study demonstrated </w:t>
      </w:r>
      <w:r w:rsidR="005F4548" w:rsidRPr="00357DF3">
        <w:rPr>
          <w:rFonts w:asciiTheme="majorBidi" w:hAnsiTheme="majorBidi" w:cstheme="majorBidi"/>
          <w:sz w:val="24"/>
          <w:szCs w:val="24"/>
        </w:rPr>
        <w:t>for the first time the promising results of utilizing the</w:t>
      </w:r>
      <w:r w:rsidR="007B31EE" w:rsidRPr="00357DF3">
        <w:rPr>
          <w:rFonts w:asciiTheme="majorBidi" w:hAnsiTheme="majorBidi" w:cstheme="majorBidi"/>
          <w:sz w:val="24"/>
          <w:szCs w:val="24"/>
        </w:rPr>
        <w:t xml:space="preserve"> magnetic </w:t>
      </w:r>
      <w:r w:rsidR="005F4548" w:rsidRPr="00357DF3">
        <w:rPr>
          <w:rFonts w:asciiTheme="majorBidi" w:hAnsiTheme="majorBidi" w:cstheme="majorBidi"/>
          <w:sz w:val="24"/>
          <w:szCs w:val="24"/>
        </w:rPr>
        <w:t>nano</w:t>
      </w:r>
      <w:r w:rsidR="007B31EE" w:rsidRPr="00357DF3">
        <w:rPr>
          <w:rFonts w:asciiTheme="majorBidi" w:hAnsiTheme="majorBidi" w:cstheme="majorBidi"/>
          <w:sz w:val="24"/>
          <w:szCs w:val="24"/>
        </w:rPr>
        <w:t>vectors compris</w:t>
      </w:r>
      <w:r w:rsidR="0097692E" w:rsidRPr="00357DF3">
        <w:rPr>
          <w:rFonts w:asciiTheme="majorBidi" w:hAnsiTheme="majorBidi" w:cstheme="majorBidi"/>
          <w:sz w:val="24"/>
          <w:szCs w:val="24"/>
        </w:rPr>
        <w:t>ed of</w:t>
      </w:r>
      <w:r w:rsidR="007B31EE" w:rsidRPr="00357DF3">
        <w:rPr>
          <w:rFonts w:asciiTheme="majorBidi" w:hAnsiTheme="majorBidi" w:cstheme="majorBidi"/>
          <w:sz w:val="24"/>
          <w:szCs w:val="24"/>
        </w:rPr>
        <w:t xml:space="preserve"> superparamagnetic iron oxide nanoparticles (SPIONs), Polyethylenimine (PEI)</w:t>
      </w:r>
      <w:r w:rsidR="006B457E" w:rsidRPr="00357DF3">
        <w:rPr>
          <w:rFonts w:asciiTheme="majorBidi" w:hAnsiTheme="majorBidi" w:cstheme="majorBidi"/>
          <w:sz w:val="24"/>
          <w:szCs w:val="24"/>
        </w:rPr>
        <w:t xml:space="preserve"> polymer</w:t>
      </w:r>
      <w:r w:rsidR="007B31EE" w:rsidRPr="00357DF3">
        <w:rPr>
          <w:rFonts w:asciiTheme="majorBidi" w:hAnsiTheme="majorBidi" w:cstheme="majorBidi"/>
          <w:sz w:val="24"/>
          <w:szCs w:val="24"/>
        </w:rPr>
        <w:t xml:space="preserve">, and hyaluronic acid (HA) to deliver malaria DNA encoding Plasmodium yoelii (Py) merozoite surface protein MSP119 (SPIONs/PEI/DNA + HA gene complex) to dendritic cells </w:t>
      </w:r>
      <w:r w:rsidRPr="00357DF3">
        <w:rPr>
          <w:rFonts w:asciiTheme="majorBidi" w:hAnsiTheme="majorBidi" w:cstheme="majorBidi"/>
          <w:sz w:val="24"/>
          <w:szCs w:val="24"/>
        </w:rPr>
        <w:t xml:space="preserve">DC which showed high gene transfection efficiency </w:t>
      </w:r>
      <w:r w:rsidRPr="00357DF3">
        <w:rPr>
          <w:rFonts w:asciiTheme="majorBidi" w:hAnsiTheme="majorBidi" w:cstheme="majorBidi"/>
          <w:i/>
          <w:iCs/>
          <w:sz w:val="24"/>
          <w:szCs w:val="24"/>
        </w:rPr>
        <w:t>in vitro</w:t>
      </w:r>
      <w:r w:rsidRPr="00357DF3">
        <w:rPr>
          <w:rFonts w:asciiTheme="majorBidi" w:hAnsiTheme="majorBidi" w:cstheme="majorBidi"/>
          <w:sz w:val="24"/>
          <w:szCs w:val="24"/>
        </w:rPr>
        <w:t xml:space="preserve">. In this study, the immunostimulatory </w:t>
      </w:r>
      <w:r w:rsidR="00896CD9" w:rsidRPr="00357DF3">
        <w:rPr>
          <w:rFonts w:asciiTheme="majorBidi" w:hAnsiTheme="majorBidi" w:cstheme="majorBidi"/>
          <w:sz w:val="24"/>
          <w:szCs w:val="24"/>
        </w:rPr>
        <w:t>effect</w:t>
      </w:r>
      <w:r w:rsidRPr="00357DF3">
        <w:rPr>
          <w:rFonts w:asciiTheme="majorBidi" w:hAnsiTheme="majorBidi" w:cstheme="majorBidi"/>
          <w:sz w:val="24"/>
          <w:szCs w:val="24"/>
        </w:rPr>
        <w:t xml:space="preserve"> of th</w:t>
      </w:r>
      <w:r w:rsidR="00D83718" w:rsidRPr="00357DF3">
        <w:rPr>
          <w:rFonts w:asciiTheme="majorBidi" w:hAnsiTheme="majorBidi" w:cstheme="majorBidi"/>
          <w:sz w:val="24"/>
          <w:szCs w:val="24"/>
        </w:rPr>
        <w:t xml:space="preserve">e </w:t>
      </w:r>
      <w:r w:rsidRPr="00357DF3">
        <w:rPr>
          <w:rFonts w:asciiTheme="majorBidi" w:hAnsiTheme="majorBidi" w:cstheme="majorBidi"/>
          <w:sz w:val="24"/>
          <w:szCs w:val="24"/>
        </w:rPr>
        <w:t xml:space="preserve">magnetic SPIONs/PEI/DNA+ </w:t>
      </w:r>
      <w:proofErr w:type="gramStart"/>
      <w:r w:rsidRPr="00357DF3">
        <w:rPr>
          <w:rFonts w:asciiTheme="majorBidi" w:hAnsiTheme="majorBidi" w:cstheme="majorBidi"/>
          <w:sz w:val="24"/>
          <w:szCs w:val="24"/>
        </w:rPr>
        <w:t>HA</w:t>
      </w:r>
      <w:proofErr w:type="gramEnd"/>
      <w:r w:rsidRPr="00357DF3">
        <w:rPr>
          <w:rFonts w:asciiTheme="majorBidi" w:hAnsiTheme="majorBidi" w:cstheme="majorBidi"/>
          <w:sz w:val="24"/>
          <w:szCs w:val="24"/>
        </w:rPr>
        <w:t xml:space="preserve"> gene complexes was examined </w:t>
      </w:r>
      <w:r w:rsidRPr="00357DF3">
        <w:rPr>
          <w:rFonts w:asciiTheme="majorBidi" w:hAnsiTheme="majorBidi" w:cstheme="majorBidi"/>
          <w:i/>
          <w:iCs/>
          <w:sz w:val="24"/>
          <w:szCs w:val="24"/>
        </w:rPr>
        <w:t>in vivo</w:t>
      </w:r>
      <w:r w:rsidRPr="00357DF3">
        <w:rPr>
          <w:rFonts w:asciiTheme="majorBidi" w:hAnsiTheme="majorBidi" w:cstheme="majorBidi"/>
          <w:sz w:val="24"/>
          <w:szCs w:val="24"/>
        </w:rPr>
        <w:t xml:space="preserve"> application.</w:t>
      </w:r>
      <w:r w:rsidRPr="00357DF3">
        <w:rPr>
          <w:rFonts w:asciiTheme="majorBidi" w:hAnsiTheme="majorBidi" w:cstheme="majorBidi"/>
          <w:sz w:val="14"/>
          <w:szCs w:val="14"/>
        </w:rPr>
        <w:t xml:space="preserve"> </w:t>
      </w:r>
      <w:r w:rsidR="00BA72FF" w:rsidRPr="00357DF3">
        <w:rPr>
          <w:rFonts w:asciiTheme="majorBidi" w:hAnsiTheme="majorBidi" w:cstheme="majorBidi"/>
          <w:sz w:val="14"/>
          <w:szCs w:val="14"/>
        </w:rPr>
        <w:t xml:space="preserve"> </w:t>
      </w:r>
      <w:r w:rsidRPr="00357DF3">
        <w:rPr>
          <w:rFonts w:asciiTheme="majorBidi" w:hAnsiTheme="majorBidi" w:cstheme="majorBidi"/>
          <w:sz w:val="24"/>
          <w:szCs w:val="24"/>
        </w:rPr>
        <w:t>Groups of BALB/c mice were immunized either with SPIONs/PEI/DNA+HA complexes or SPIONs/PEI/DNA complexes with and without applying external magnetic field, and naked DNA by two different routes of administration</w:t>
      </w:r>
      <w:proofErr w:type="gramStart"/>
      <w:r w:rsidRPr="00357DF3">
        <w:rPr>
          <w:rFonts w:asciiTheme="majorBidi" w:hAnsiTheme="majorBidi" w:cstheme="majorBidi"/>
          <w:sz w:val="24"/>
          <w:szCs w:val="24"/>
        </w:rPr>
        <w:t>;</w:t>
      </w:r>
      <w:proofErr w:type="gramEnd"/>
      <w:r w:rsidRPr="00357DF3">
        <w:rPr>
          <w:rFonts w:asciiTheme="majorBidi" w:hAnsiTheme="majorBidi" w:cstheme="majorBidi"/>
          <w:sz w:val="24"/>
          <w:szCs w:val="24"/>
        </w:rPr>
        <w:t xml:space="preserve"> intraperitoneal (i.p.) and</w:t>
      </w:r>
      <w:r w:rsidR="009B5741" w:rsidRPr="00357DF3">
        <w:rPr>
          <w:rFonts w:asciiTheme="majorBidi" w:hAnsiTheme="majorBidi" w:cstheme="majorBidi"/>
          <w:sz w:val="24"/>
          <w:szCs w:val="24"/>
        </w:rPr>
        <w:t xml:space="preserve"> intramuscular (i.</w:t>
      </w:r>
      <w:r w:rsidRPr="00357DF3">
        <w:rPr>
          <w:rFonts w:asciiTheme="majorBidi" w:hAnsiTheme="majorBidi" w:cstheme="majorBidi"/>
          <w:sz w:val="24"/>
          <w:szCs w:val="24"/>
        </w:rPr>
        <w:t>m.</w:t>
      </w:r>
      <w:r w:rsidR="00BA72FF" w:rsidRPr="00357DF3">
        <w:rPr>
          <w:rFonts w:asciiTheme="majorBidi" w:hAnsiTheme="majorBidi" w:cstheme="majorBidi"/>
          <w:sz w:val="24"/>
          <w:szCs w:val="24"/>
        </w:rPr>
        <w:t>)</w:t>
      </w:r>
      <w:r w:rsidRPr="00357DF3">
        <w:rPr>
          <w:rFonts w:asciiTheme="majorBidi" w:hAnsiTheme="majorBidi" w:cstheme="majorBidi"/>
          <w:sz w:val="24"/>
          <w:szCs w:val="24"/>
        </w:rPr>
        <w:t>.</w:t>
      </w:r>
      <w:r w:rsidRPr="00357DF3">
        <w:rPr>
          <w:rFonts w:asciiTheme="majorBidi" w:hAnsiTheme="majorBidi" w:cstheme="majorBidi"/>
        </w:rPr>
        <w:t xml:space="preserve"> </w:t>
      </w:r>
      <w:r w:rsidRPr="00357DF3">
        <w:rPr>
          <w:rFonts w:asciiTheme="majorBidi" w:hAnsiTheme="majorBidi" w:cstheme="majorBidi"/>
          <w:sz w:val="24"/>
          <w:szCs w:val="24"/>
        </w:rPr>
        <w:t>Our results show that higher serum antibody titers against PyMSP1</w:t>
      </w:r>
      <w:r w:rsidRPr="00357DF3">
        <w:rPr>
          <w:rFonts w:asciiTheme="majorBidi" w:hAnsiTheme="majorBidi" w:cstheme="majorBidi"/>
          <w:sz w:val="24"/>
          <w:szCs w:val="24"/>
          <w:vertAlign w:val="subscript"/>
        </w:rPr>
        <w:t>19</w:t>
      </w:r>
      <w:r w:rsidRPr="00357DF3">
        <w:rPr>
          <w:rFonts w:asciiTheme="majorBidi" w:hAnsiTheme="majorBidi" w:cstheme="majorBidi"/>
          <w:sz w:val="24"/>
          <w:szCs w:val="24"/>
        </w:rPr>
        <w:t xml:space="preserve"> </w:t>
      </w:r>
      <w:proofErr w:type="gramStart"/>
      <w:r w:rsidRPr="00357DF3">
        <w:rPr>
          <w:rFonts w:asciiTheme="majorBidi" w:hAnsiTheme="majorBidi" w:cstheme="majorBidi"/>
          <w:sz w:val="24"/>
          <w:szCs w:val="24"/>
        </w:rPr>
        <w:t>were elicited</w:t>
      </w:r>
      <w:proofErr w:type="gramEnd"/>
      <w:r w:rsidRPr="00357DF3">
        <w:rPr>
          <w:rFonts w:asciiTheme="majorBidi" w:hAnsiTheme="majorBidi" w:cstheme="majorBidi"/>
          <w:sz w:val="24"/>
          <w:szCs w:val="24"/>
        </w:rPr>
        <w:t xml:space="preserve"> when magnetic </w:t>
      </w:r>
      <w:r w:rsidR="00D83718" w:rsidRPr="00357DF3">
        <w:rPr>
          <w:rFonts w:asciiTheme="majorBidi" w:hAnsiTheme="majorBidi" w:cstheme="majorBidi"/>
          <w:sz w:val="24"/>
          <w:szCs w:val="24"/>
        </w:rPr>
        <w:t xml:space="preserve">gene </w:t>
      </w:r>
      <w:r w:rsidRPr="00357DF3">
        <w:rPr>
          <w:rFonts w:asciiTheme="majorBidi" w:hAnsiTheme="majorBidi" w:cstheme="majorBidi"/>
          <w:sz w:val="24"/>
          <w:szCs w:val="24"/>
        </w:rPr>
        <w:t>vectors SPIONs/PEI/DNA+HA were given via intraperitoneal injection under external magnetic field. In addition</w:t>
      </w:r>
      <w:r w:rsidR="00C92D61" w:rsidRPr="00357DF3">
        <w:rPr>
          <w:rFonts w:asciiTheme="majorBidi" w:hAnsiTheme="majorBidi" w:cstheme="majorBidi"/>
          <w:sz w:val="24"/>
          <w:szCs w:val="24"/>
        </w:rPr>
        <w:t>, predominant</w:t>
      </w:r>
      <w:r w:rsidR="0040257D" w:rsidRPr="00357DF3">
        <w:rPr>
          <w:rFonts w:asciiTheme="majorBidi" w:hAnsiTheme="majorBidi" w:cstheme="majorBidi"/>
          <w:sz w:val="24"/>
          <w:szCs w:val="24"/>
        </w:rPr>
        <w:t xml:space="preserve"> IgG subclasses induced were IgG2a followed by IgG1 a</w:t>
      </w:r>
      <w:r w:rsidR="00C92D61" w:rsidRPr="00357DF3">
        <w:rPr>
          <w:rFonts w:asciiTheme="majorBidi" w:hAnsiTheme="majorBidi" w:cstheme="majorBidi"/>
          <w:sz w:val="24"/>
          <w:szCs w:val="24"/>
        </w:rPr>
        <w:t xml:space="preserve">nd IgG2b </w:t>
      </w:r>
      <w:r w:rsidRPr="00357DF3">
        <w:rPr>
          <w:rFonts w:asciiTheme="majorBidi" w:hAnsiTheme="majorBidi" w:cstheme="majorBidi"/>
          <w:sz w:val="24"/>
          <w:szCs w:val="24"/>
        </w:rPr>
        <w:t xml:space="preserve">subclass responses were also observed when mice vaccinated by SPIONs/PEI/DNA+HA complexes via intraperitoneal route. </w:t>
      </w:r>
    </w:p>
    <w:p w:rsidR="00B17871" w:rsidRPr="00357DF3" w:rsidRDefault="00F26CA9" w:rsidP="00F50252">
      <w:pPr>
        <w:autoSpaceDE w:val="0"/>
        <w:autoSpaceDN w:val="0"/>
        <w:adjustRightInd w:val="0"/>
        <w:spacing w:after="0" w:line="240" w:lineRule="auto"/>
        <w:jc w:val="both"/>
        <w:rPr>
          <w:rFonts w:asciiTheme="majorBidi" w:hAnsiTheme="majorBidi" w:cstheme="majorBidi"/>
          <w:sz w:val="24"/>
          <w:szCs w:val="24"/>
        </w:rPr>
      </w:pPr>
      <w:r w:rsidRPr="00357DF3">
        <w:rPr>
          <w:rFonts w:asciiTheme="majorBidi" w:hAnsiTheme="majorBidi" w:cstheme="majorBidi"/>
          <w:sz w:val="24"/>
          <w:szCs w:val="24"/>
        </w:rPr>
        <w:t xml:space="preserve">Activation was also measured as induction of interferon INF-γ secretion, production of interleukin 4 (IL-4) and interleukin 17 (IL-17) levels in the spleen </w:t>
      </w:r>
      <w:r w:rsidR="004E0B25" w:rsidRPr="00357DF3">
        <w:rPr>
          <w:rFonts w:asciiTheme="majorBidi" w:hAnsiTheme="majorBidi" w:cstheme="majorBidi"/>
          <w:sz w:val="24"/>
          <w:szCs w:val="24"/>
        </w:rPr>
        <w:t>cells</w:t>
      </w:r>
      <w:r w:rsidR="004E0B25" w:rsidRPr="00357DF3">
        <w:rPr>
          <w:rFonts w:asciiTheme="majorBidi" w:hAnsiTheme="majorBidi" w:cstheme="majorBidi"/>
        </w:rPr>
        <w:t xml:space="preserve"> </w:t>
      </w:r>
      <w:r w:rsidRPr="00357DF3">
        <w:rPr>
          <w:rFonts w:asciiTheme="majorBidi" w:hAnsiTheme="majorBidi" w:cstheme="majorBidi"/>
          <w:sz w:val="24"/>
          <w:szCs w:val="24"/>
        </w:rPr>
        <w:t>as confirmed by flow cytometry.</w:t>
      </w:r>
      <w:r w:rsidR="001B0EEF" w:rsidRPr="00357DF3">
        <w:rPr>
          <w:rFonts w:asciiTheme="majorBidi" w:hAnsiTheme="majorBidi" w:cstheme="majorBidi"/>
          <w:sz w:val="24"/>
          <w:szCs w:val="24"/>
        </w:rPr>
        <w:t xml:space="preserve"> The complex</w:t>
      </w:r>
      <w:r w:rsidR="00D110DC" w:rsidRPr="00357DF3">
        <w:rPr>
          <w:rFonts w:asciiTheme="majorBidi" w:hAnsiTheme="majorBidi" w:cstheme="majorBidi"/>
          <w:sz w:val="24"/>
          <w:szCs w:val="24"/>
        </w:rPr>
        <w:t>es elicited high levels of interferon gamma (IFN</w:t>
      </w:r>
      <w:r w:rsidR="00D110DC" w:rsidRPr="00357DF3">
        <w:rPr>
          <w:rFonts w:ascii="Cambria Math" w:hAnsi="Cambria Math" w:cs="Cambria Math"/>
          <w:sz w:val="24"/>
          <w:szCs w:val="24"/>
        </w:rPr>
        <w:t>‐</w:t>
      </w:r>
      <w:r w:rsidR="00D110DC" w:rsidRPr="00357DF3">
        <w:rPr>
          <w:rFonts w:asciiTheme="majorBidi" w:hAnsiTheme="majorBidi" w:cstheme="majorBidi"/>
          <w:sz w:val="24"/>
          <w:szCs w:val="24"/>
        </w:rPr>
        <w:t>γ), and moderate levels of interleukin (IL</w:t>
      </w:r>
      <w:proofErr w:type="gramStart"/>
      <w:r w:rsidR="00D110DC" w:rsidRPr="00357DF3">
        <w:rPr>
          <w:rFonts w:asciiTheme="majorBidi" w:hAnsiTheme="majorBidi" w:cstheme="majorBidi"/>
          <w:sz w:val="24"/>
          <w:szCs w:val="24"/>
        </w:rPr>
        <w:t>)</w:t>
      </w:r>
      <w:r w:rsidR="00D110DC" w:rsidRPr="00357DF3">
        <w:rPr>
          <w:rFonts w:ascii="Cambria Math" w:hAnsi="Cambria Math" w:cs="Cambria Math"/>
          <w:sz w:val="24"/>
          <w:szCs w:val="24"/>
        </w:rPr>
        <w:t>‐</w:t>
      </w:r>
      <w:proofErr w:type="gramEnd"/>
      <w:r w:rsidR="00D110DC" w:rsidRPr="00357DF3">
        <w:rPr>
          <w:rFonts w:asciiTheme="majorBidi" w:hAnsiTheme="majorBidi" w:cstheme="majorBidi"/>
          <w:sz w:val="24"/>
          <w:szCs w:val="24"/>
        </w:rPr>
        <w:t>4 and IL</w:t>
      </w:r>
      <w:r w:rsidR="00D110DC" w:rsidRPr="00357DF3">
        <w:rPr>
          <w:rFonts w:ascii="Cambria Math" w:hAnsi="Cambria Math" w:cs="Cambria Math"/>
          <w:sz w:val="24"/>
          <w:szCs w:val="24"/>
        </w:rPr>
        <w:t>‐</w:t>
      </w:r>
      <w:r w:rsidR="00D110DC" w:rsidRPr="00357DF3">
        <w:rPr>
          <w:rFonts w:asciiTheme="majorBidi" w:hAnsiTheme="majorBidi" w:cstheme="majorBidi"/>
          <w:sz w:val="24"/>
          <w:szCs w:val="24"/>
        </w:rPr>
        <w:t>17 antigen</w:t>
      </w:r>
      <w:r w:rsidR="00D110DC" w:rsidRPr="00357DF3">
        <w:rPr>
          <w:rFonts w:ascii="Cambria Math" w:hAnsi="Cambria Math" w:cs="Cambria Math"/>
          <w:sz w:val="24"/>
          <w:szCs w:val="24"/>
        </w:rPr>
        <w:t>‐</w:t>
      </w:r>
      <w:r w:rsidR="00D110DC" w:rsidRPr="00357DF3">
        <w:rPr>
          <w:rFonts w:asciiTheme="majorBidi" w:hAnsiTheme="majorBidi" w:cstheme="majorBidi"/>
          <w:sz w:val="24"/>
          <w:szCs w:val="24"/>
        </w:rPr>
        <w:t>specific splenocytes, indicating induction of T helper 1 (Th1), Th2, and Th17 cell mediated immunity</w:t>
      </w:r>
      <w:r w:rsidR="001B0EEF" w:rsidRPr="00357DF3">
        <w:rPr>
          <w:rFonts w:asciiTheme="majorBidi" w:hAnsiTheme="majorBidi" w:cstheme="majorBidi"/>
          <w:sz w:val="24"/>
          <w:szCs w:val="24"/>
        </w:rPr>
        <w:t xml:space="preserve">. </w:t>
      </w:r>
      <w:proofErr w:type="gramStart"/>
      <w:r w:rsidRPr="00357DF3">
        <w:rPr>
          <w:rFonts w:asciiTheme="majorBidi" w:hAnsiTheme="majorBidi" w:cstheme="majorBidi"/>
          <w:sz w:val="24"/>
          <w:szCs w:val="24"/>
        </w:rPr>
        <w:t>The</w:t>
      </w:r>
      <w:r w:rsidR="00F50252">
        <w:rPr>
          <w:rFonts w:asciiTheme="majorBidi" w:hAnsiTheme="majorBidi" w:cstheme="majorBidi"/>
          <w:sz w:val="24"/>
          <w:szCs w:val="24"/>
        </w:rPr>
        <w:t xml:space="preserve"> </w:t>
      </w:r>
      <w:r w:rsidRPr="00357DF3">
        <w:rPr>
          <w:rFonts w:asciiTheme="majorBidi" w:hAnsiTheme="majorBidi" w:cstheme="majorBidi"/>
          <w:sz w:val="24"/>
          <w:szCs w:val="24"/>
        </w:rPr>
        <w:t xml:space="preserve"> results</w:t>
      </w:r>
      <w:proofErr w:type="gramEnd"/>
      <w:r w:rsidRPr="00357DF3">
        <w:rPr>
          <w:rFonts w:asciiTheme="majorBidi" w:hAnsiTheme="majorBidi" w:cstheme="majorBidi"/>
          <w:sz w:val="24"/>
          <w:szCs w:val="24"/>
        </w:rPr>
        <w:t xml:space="preserve"> illustrate that</w:t>
      </w:r>
      <w:r w:rsidR="00D36E51" w:rsidRPr="00357DF3">
        <w:rPr>
          <w:rFonts w:asciiTheme="majorBidi" w:hAnsiTheme="majorBidi" w:cstheme="majorBidi"/>
          <w:sz w:val="24"/>
          <w:szCs w:val="24"/>
        </w:rPr>
        <w:t xml:space="preserve"> </w:t>
      </w:r>
      <w:r w:rsidR="0020309B">
        <w:rPr>
          <w:rFonts w:asciiTheme="majorBidi" w:hAnsiTheme="majorBidi" w:cstheme="majorBidi"/>
          <w:sz w:val="24"/>
          <w:szCs w:val="24"/>
        </w:rPr>
        <w:t xml:space="preserve">the </w:t>
      </w:r>
      <w:bookmarkStart w:id="0" w:name="_GoBack"/>
      <w:bookmarkEnd w:id="0"/>
      <w:r w:rsidR="00D36E51" w:rsidRPr="00357DF3">
        <w:rPr>
          <w:rFonts w:asciiTheme="majorBidi" w:hAnsiTheme="majorBidi" w:cstheme="majorBidi"/>
          <w:sz w:val="24"/>
          <w:szCs w:val="24"/>
        </w:rPr>
        <w:t>ability of</w:t>
      </w:r>
      <w:r w:rsidR="00B17871" w:rsidRPr="00357DF3">
        <w:rPr>
          <w:rFonts w:asciiTheme="majorBidi" w:hAnsiTheme="majorBidi" w:cstheme="majorBidi"/>
          <w:sz w:val="24"/>
          <w:szCs w:val="24"/>
        </w:rPr>
        <w:t xml:space="preserve"> </w:t>
      </w:r>
      <w:r w:rsidRPr="00357DF3">
        <w:rPr>
          <w:rFonts w:asciiTheme="majorBidi" w:hAnsiTheme="majorBidi" w:cstheme="majorBidi"/>
          <w:sz w:val="24"/>
          <w:szCs w:val="24"/>
        </w:rPr>
        <w:t xml:space="preserve">SPIONs/PEI/DNA+HA </w:t>
      </w:r>
      <w:r w:rsidR="00D36E51" w:rsidRPr="00357DF3">
        <w:rPr>
          <w:rFonts w:asciiTheme="majorBidi" w:hAnsiTheme="majorBidi" w:cstheme="majorBidi"/>
          <w:sz w:val="24"/>
          <w:szCs w:val="24"/>
        </w:rPr>
        <w:t xml:space="preserve">gene </w:t>
      </w:r>
      <w:r w:rsidRPr="00357DF3">
        <w:rPr>
          <w:rFonts w:asciiTheme="majorBidi" w:hAnsiTheme="majorBidi" w:cstheme="majorBidi"/>
          <w:sz w:val="24"/>
          <w:szCs w:val="24"/>
        </w:rPr>
        <w:t xml:space="preserve">complexes across the i.p. route of administration </w:t>
      </w:r>
      <w:r w:rsidR="00B17871" w:rsidRPr="00357DF3">
        <w:rPr>
          <w:rFonts w:asciiTheme="majorBidi" w:hAnsiTheme="majorBidi" w:cstheme="majorBidi"/>
          <w:sz w:val="24"/>
          <w:szCs w:val="24"/>
        </w:rPr>
        <w:t>to induce cytophilic antibodies together with broad-spectrum cellular immunity may benefit malaria vaccines.</w:t>
      </w:r>
    </w:p>
    <w:p w:rsidR="00F26CA9" w:rsidRPr="00357DF3" w:rsidRDefault="00F26CA9" w:rsidP="00B17871">
      <w:pPr>
        <w:autoSpaceDE w:val="0"/>
        <w:autoSpaceDN w:val="0"/>
        <w:adjustRightInd w:val="0"/>
        <w:spacing w:after="0" w:line="240" w:lineRule="auto"/>
        <w:jc w:val="both"/>
        <w:rPr>
          <w:rFonts w:asciiTheme="majorBidi" w:hAnsiTheme="majorBidi" w:cstheme="majorBidi"/>
          <w:sz w:val="24"/>
          <w:szCs w:val="24"/>
        </w:rPr>
      </w:pPr>
    </w:p>
    <w:p w:rsidR="00F26CA9" w:rsidRPr="00357DF3" w:rsidRDefault="00F26CA9" w:rsidP="00F26CA9">
      <w:pPr>
        <w:autoSpaceDE w:val="0"/>
        <w:autoSpaceDN w:val="0"/>
        <w:adjustRightInd w:val="0"/>
        <w:spacing w:after="0" w:line="240" w:lineRule="auto"/>
        <w:jc w:val="both"/>
        <w:rPr>
          <w:rFonts w:asciiTheme="majorBidi" w:hAnsiTheme="majorBidi" w:cstheme="majorBidi"/>
          <w:sz w:val="24"/>
          <w:szCs w:val="24"/>
        </w:rPr>
      </w:pPr>
    </w:p>
    <w:p w:rsidR="00F26CA9" w:rsidRPr="00357DF3" w:rsidRDefault="00F26CA9" w:rsidP="00E35315">
      <w:pPr>
        <w:autoSpaceDE w:val="0"/>
        <w:autoSpaceDN w:val="0"/>
        <w:adjustRightInd w:val="0"/>
        <w:spacing w:after="0" w:line="240" w:lineRule="auto"/>
        <w:jc w:val="both"/>
        <w:rPr>
          <w:rFonts w:asciiTheme="majorBidi" w:hAnsiTheme="majorBidi" w:cstheme="majorBidi"/>
          <w:sz w:val="24"/>
          <w:szCs w:val="24"/>
        </w:rPr>
      </w:pPr>
    </w:p>
    <w:p w:rsidR="00B1718D" w:rsidRPr="00357DF3" w:rsidRDefault="00B1718D" w:rsidP="00E35315">
      <w:pPr>
        <w:autoSpaceDE w:val="0"/>
        <w:autoSpaceDN w:val="0"/>
        <w:adjustRightInd w:val="0"/>
        <w:spacing w:after="0" w:line="240" w:lineRule="auto"/>
        <w:jc w:val="both"/>
        <w:rPr>
          <w:rFonts w:asciiTheme="majorBidi" w:hAnsiTheme="majorBidi" w:cstheme="majorBidi"/>
          <w:sz w:val="24"/>
          <w:szCs w:val="24"/>
        </w:rPr>
      </w:pPr>
    </w:p>
    <w:p w:rsidR="00B1718D" w:rsidRPr="00357DF3" w:rsidRDefault="00B1718D" w:rsidP="00E35315">
      <w:pPr>
        <w:autoSpaceDE w:val="0"/>
        <w:autoSpaceDN w:val="0"/>
        <w:adjustRightInd w:val="0"/>
        <w:spacing w:after="0" w:line="240" w:lineRule="auto"/>
        <w:jc w:val="both"/>
        <w:rPr>
          <w:rFonts w:asciiTheme="majorBidi" w:hAnsiTheme="majorBidi" w:cstheme="majorBidi"/>
          <w:sz w:val="24"/>
          <w:szCs w:val="24"/>
        </w:rPr>
      </w:pPr>
    </w:p>
    <w:p w:rsidR="00B1718D" w:rsidRDefault="009031A9" w:rsidP="00E35315">
      <w:pPr>
        <w:autoSpaceDE w:val="0"/>
        <w:autoSpaceDN w:val="0"/>
        <w:adjustRightInd w:val="0"/>
        <w:spacing w:after="0" w:line="240" w:lineRule="auto"/>
        <w:jc w:val="both"/>
        <w:rPr>
          <w:rFonts w:asciiTheme="majorBidi" w:hAnsiTheme="majorBidi" w:cstheme="majorBidi"/>
          <w:sz w:val="24"/>
          <w:szCs w:val="24"/>
        </w:rPr>
      </w:pPr>
      <w:r>
        <w:rPr>
          <w:noProof/>
          <w:lang w:eastAsia="en-AU"/>
        </w:rPr>
        <w:lastRenderedPageBreak/>
        <w:drawing>
          <wp:inline distT="0" distB="0" distL="0" distR="0">
            <wp:extent cx="1432560" cy="1416050"/>
            <wp:effectExtent l="0" t="0" r="0" b="0"/>
            <wp:docPr id="1" name="Picture 1" descr="http://www.ausnano.net/profilephoto.php?profile=1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usnano.net/profilephoto.php?profile=14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32560" cy="1416050"/>
                    </a:xfrm>
                    <a:prstGeom prst="rect">
                      <a:avLst/>
                    </a:prstGeom>
                    <a:noFill/>
                    <a:ln>
                      <a:noFill/>
                    </a:ln>
                  </pic:spPr>
                </pic:pic>
              </a:graphicData>
            </a:graphic>
          </wp:inline>
        </w:drawing>
      </w:r>
    </w:p>
    <w:p w:rsidR="00762ACE" w:rsidRDefault="00762ACE" w:rsidP="00E35315">
      <w:pPr>
        <w:autoSpaceDE w:val="0"/>
        <w:autoSpaceDN w:val="0"/>
        <w:adjustRightInd w:val="0"/>
        <w:spacing w:after="0" w:line="240" w:lineRule="auto"/>
        <w:jc w:val="both"/>
        <w:rPr>
          <w:rFonts w:asciiTheme="majorBidi" w:hAnsiTheme="majorBidi" w:cstheme="majorBidi"/>
          <w:sz w:val="24"/>
          <w:szCs w:val="24"/>
        </w:rPr>
      </w:pPr>
    </w:p>
    <w:p w:rsidR="00762ACE" w:rsidRDefault="00DB4B67" w:rsidP="00762ACE">
      <w:pPr>
        <w:jc w:val="both"/>
        <w:rPr>
          <w:rFonts w:asciiTheme="majorBidi" w:hAnsiTheme="majorBidi" w:cstheme="majorBidi"/>
          <w:sz w:val="24"/>
          <w:szCs w:val="24"/>
        </w:rPr>
      </w:pPr>
      <w:r>
        <w:rPr>
          <w:rFonts w:asciiTheme="majorBidi" w:hAnsiTheme="majorBidi" w:cstheme="majorBidi"/>
          <w:b/>
          <w:bCs/>
          <w:sz w:val="24"/>
          <w:szCs w:val="24"/>
          <w:lang w:val="en-US"/>
        </w:rPr>
        <w:t xml:space="preserve">Dr. </w:t>
      </w:r>
      <w:r w:rsidR="00762ACE" w:rsidRPr="00B1718D">
        <w:rPr>
          <w:rFonts w:asciiTheme="majorBidi" w:hAnsiTheme="majorBidi" w:cstheme="majorBidi"/>
          <w:b/>
          <w:bCs/>
          <w:sz w:val="24"/>
          <w:szCs w:val="24"/>
          <w:lang w:val="en-US"/>
        </w:rPr>
        <w:t xml:space="preserve">Fatin M. Nawwab </w:t>
      </w:r>
      <w:r w:rsidR="00762ACE" w:rsidRPr="00DB4B67">
        <w:rPr>
          <w:rFonts w:asciiTheme="majorBidi" w:hAnsiTheme="majorBidi" w:cstheme="majorBidi"/>
          <w:b/>
          <w:bCs/>
          <w:sz w:val="24"/>
          <w:szCs w:val="24"/>
          <w:lang w:val="en-US"/>
        </w:rPr>
        <w:t>AL-Deen</w:t>
      </w:r>
      <w:r w:rsidR="00762ACE" w:rsidRPr="00145976">
        <w:rPr>
          <w:rFonts w:asciiTheme="majorBidi" w:hAnsiTheme="majorBidi" w:cstheme="majorBidi"/>
          <w:sz w:val="24"/>
          <w:szCs w:val="24"/>
          <w:lang w:val="en-US"/>
        </w:rPr>
        <w:t xml:space="preserve"> </w:t>
      </w:r>
      <w:r w:rsidR="00762ACE">
        <w:rPr>
          <w:rFonts w:asciiTheme="majorBidi" w:hAnsiTheme="majorBidi" w:cstheme="majorBidi"/>
          <w:sz w:val="24"/>
          <w:szCs w:val="24"/>
          <w:lang w:val="en-US"/>
        </w:rPr>
        <w:t xml:space="preserve">is a </w:t>
      </w:r>
      <w:r w:rsidR="00762ACE">
        <w:rPr>
          <w:rFonts w:asciiTheme="majorBidi" w:hAnsiTheme="majorBidi" w:cstheme="majorBidi"/>
          <w:sz w:val="24"/>
          <w:szCs w:val="24"/>
        </w:rPr>
        <w:t>Senior l</w:t>
      </w:r>
      <w:r w:rsidR="00762ACE" w:rsidRPr="004838F0">
        <w:rPr>
          <w:rFonts w:asciiTheme="majorBidi" w:hAnsiTheme="majorBidi" w:cstheme="majorBidi"/>
          <w:sz w:val="24"/>
          <w:szCs w:val="24"/>
        </w:rPr>
        <w:t>ecturer</w:t>
      </w:r>
      <w:r w:rsidR="00762ACE">
        <w:rPr>
          <w:rFonts w:asciiTheme="majorBidi" w:hAnsiTheme="majorBidi" w:cstheme="majorBidi"/>
          <w:sz w:val="24"/>
          <w:szCs w:val="24"/>
        </w:rPr>
        <w:t xml:space="preserve"> (</w:t>
      </w:r>
      <w:r w:rsidR="00762ACE" w:rsidRPr="004838F0">
        <w:rPr>
          <w:rFonts w:asciiTheme="majorBidi" w:hAnsiTheme="majorBidi" w:cstheme="majorBidi"/>
          <w:sz w:val="24"/>
          <w:szCs w:val="24"/>
        </w:rPr>
        <w:t>Microbiology</w:t>
      </w:r>
      <w:r w:rsidR="00762ACE" w:rsidRPr="002D12C9">
        <w:rPr>
          <w:rFonts w:asciiTheme="majorBidi" w:hAnsiTheme="majorBidi" w:cstheme="majorBidi"/>
          <w:sz w:val="24"/>
          <w:szCs w:val="24"/>
        </w:rPr>
        <w:t xml:space="preserve"> and Parasitology)</w:t>
      </w:r>
      <w:r w:rsidR="00762ACE">
        <w:rPr>
          <w:rFonts w:asciiTheme="majorBidi" w:hAnsiTheme="majorBidi" w:cstheme="majorBidi"/>
          <w:sz w:val="24"/>
          <w:szCs w:val="24"/>
        </w:rPr>
        <w:t xml:space="preserve"> at </w:t>
      </w:r>
      <w:r w:rsidR="00762ACE" w:rsidRPr="00145976">
        <w:rPr>
          <w:rFonts w:asciiTheme="majorBidi" w:hAnsiTheme="majorBidi" w:cstheme="majorBidi"/>
          <w:sz w:val="24"/>
          <w:szCs w:val="24"/>
        </w:rPr>
        <w:t xml:space="preserve">Kirkuk University/ Iraq, </w:t>
      </w:r>
      <w:r w:rsidR="00762ACE">
        <w:rPr>
          <w:rFonts w:asciiTheme="majorBidi" w:hAnsiTheme="majorBidi" w:cstheme="majorBidi"/>
          <w:sz w:val="24"/>
          <w:szCs w:val="24"/>
        </w:rPr>
        <w:t xml:space="preserve">she </w:t>
      </w:r>
      <w:r w:rsidR="00762ACE" w:rsidRPr="00145976">
        <w:rPr>
          <w:rFonts w:asciiTheme="majorBidi" w:hAnsiTheme="majorBidi" w:cstheme="majorBidi"/>
          <w:sz w:val="24"/>
          <w:szCs w:val="24"/>
        </w:rPr>
        <w:t>received</w:t>
      </w:r>
      <w:r w:rsidR="00762ACE">
        <w:rPr>
          <w:rFonts w:asciiTheme="majorBidi" w:hAnsiTheme="majorBidi" w:cstheme="majorBidi"/>
          <w:sz w:val="24"/>
          <w:szCs w:val="24"/>
        </w:rPr>
        <w:t xml:space="preserve"> her</w:t>
      </w:r>
      <w:r w:rsidR="00762ACE" w:rsidRPr="00145976">
        <w:rPr>
          <w:rFonts w:asciiTheme="majorBidi" w:hAnsiTheme="majorBidi" w:cstheme="majorBidi"/>
          <w:sz w:val="24"/>
          <w:szCs w:val="24"/>
        </w:rPr>
        <w:t xml:space="preserve"> B.S. and M.S. in Biology</w:t>
      </w:r>
      <w:r w:rsidR="00762ACE">
        <w:rPr>
          <w:rFonts w:asciiTheme="majorBidi" w:hAnsiTheme="majorBidi" w:cstheme="majorBidi"/>
          <w:sz w:val="24"/>
          <w:szCs w:val="24"/>
        </w:rPr>
        <w:t xml:space="preserve"> (Parasitology) </w:t>
      </w:r>
      <w:r w:rsidR="00762ACE" w:rsidRPr="00145976">
        <w:rPr>
          <w:rFonts w:asciiTheme="majorBidi" w:hAnsiTheme="majorBidi" w:cstheme="majorBidi"/>
          <w:sz w:val="24"/>
          <w:szCs w:val="24"/>
        </w:rPr>
        <w:t xml:space="preserve">from the Department Biology /College of Science (1991) (1994) at Mosul University/ Iraq, respectively. She obtained her Ph.D. in </w:t>
      </w:r>
      <w:r w:rsidR="00762ACE">
        <w:rPr>
          <w:rFonts w:asciiTheme="majorBidi" w:hAnsiTheme="majorBidi" w:cstheme="majorBidi"/>
          <w:sz w:val="24"/>
          <w:szCs w:val="24"/>
        </w:rPr>
        <w:t>Parasitology (</w:t>
      </w:r>
      <w:r w:rsidR="00762ACE" w:rsidRPr="00145976">
        <w:rPr>
          <w:rFonts w:asciiTheme="majorBidi" w:hAnsiTheme="majorBidi" w:cstheme="majorBidi"/>
          <w:sz w:val="24"/>
          <w:szCs w:val="24"/>
        </w:rPr>
        <w:t>2013</w:t>
      </w:r>
      <w:r w:rsidR="00762ACE">
        <w:rPr>
          <w:rFonts w:asciiTheme="majorBidi" w:hAnsiTheme="majorBidi" w:cstheme="majorBidi"/>
          <w:sz w:val="24"/>
          <w:szCs w:val="24"/>
        </w:rPr>
        <w:t>)</w:t>
      </w:r>
      <w:r w:rsidR="00762ACE" w:rsidRPr="00145976">
        <w:rPr>
          <w:rFonts w:asciiTheme="majorBidi" w:hAnsiTheme="majorBidi" w:cstheme="majorBidi"/>
          <w:sz w:val="24"/>
          <w:szCs w:val="24"/>
        </w:rPr>
        <w:t xml:space="preserve"> under the supervision of Professor Cordelia Selomulya in Chemical Engineering Department and Professor Ross Coppel in the Department of Microbiology at Monash University/</w:t>
      </w:r>
      <w:r w:rsidR="00762ACE">
        <w:rPr>
          <w:rFonts w:asciiTheme="majorBidi" w:hAnsiTheme="majorBidi" w:cstheme="majorBidi"/>
          <w:sz w:val="24"/>
          <w:szCs w:val="24"/>
        </w:rPr>
        <w:t>VIC</w:t>
      </w:r>
      <w:r w:rsidR="00762ACE" w:rsidRPr="00145976">
        <w:rPr>
          <w:rFonts w:asciiTheme="majorBidi" w:hAnsiTheme="majorBidi" w:cstheme="majorBidi"/>
          <w:sz w:val="24"/>
          <w:szCs w:val="24"/>
        </w:rPr>
        <w:t xml:space="preserve"> Australia. </w:t>
      </w:r>
      <w:r w:rsidR="00762ACE">
        <w:rPr>
          <w:rFonts w:asciiTheme="majorBidi" w:hAnsiTheme="majorBidi" w:cstheme="majorBidi"/>
          <w:sz w:val="24"/>
          <w:szCs w:val="24"/>
        </w:rPr>
        <w:t xml:space="preserve">Dr. Fatin Nawwab AL-Deen </w:t>
      </w:r>
      <w:r w:rsidR="00762ACE" w:rsidRPr="00145976">
        <w:rPr>
          <w:rFonts w:asciiTheme="majorBidi" w:hAnsiTheme="majorBidi" w:cstheme="majorBidi"/>
          <w:sz w:val="24"/>
          <w:szCs w:val="24"/>
        </w:rPr>
        <w:t xml:space="preserve">current research focuses </w:t>
      </w:r>
      <w:r w:rsidR="00762ACE">
        <w:rPr>
          <w:rFonts w:asciiTheme="majorBidi" w:hAnsiTheme="majorBidi" w:cstheme="majorBidi"/>
          <w:sz w:val="24"/>
          <w:szCs w:val="24"/>
        </w:rPr>
        <w:t xml:space="preserve">are </w:t>
      </w:r>
      <w:r w:rsidR="00762ACE" w:rsidRPr="00145976">
        <w:rPr>
          <w:rFonts w:asciiTheme="majorBidi" w:hAnsiTheme="majorBidi" w:cstheme="majorBidi"/>
          <w:sz w:val="24"/>
          <w:szCs w:val="24"/>
        </w:rPr>
        <w:t xml:space="preserve">on the improvement of </w:t>
      </w:r>
      <w:r w:rsidR="00762ACE">
        <w:rPr>
          <w:rFonts w:asciiTheme="majorBidi" w:hAnsiTheme="majorBidi" w:cstheme="majorBidi"/>
          <w:sz w:val="24"/>
          <w:szCs w:val="24"/>
        </w:rPr>
        <w:t>Molecular technique</w:t>
      </w:r>
      <w:r w:rsidR="00762ACE" w:rsidRPr="00145976">
        <w:rPr>
          <w:rFonts w:asciiTheme="majorBidi" w:hAnsiTheme="majorBidi" w:cstheme="majorBidi"/>
          <w:sz w:val="24"/>
          <w:szCs w:val="24"/>
        </w:rPr>
        <w:t xml:space="preserve"> for diagnosis parasitic diseases</w:t>
      </w:r>
      <w:r w:rsidR="00762ACE">
        <w:rPr>
          <w:rFonts w:asciiTheme="majorBidi" w:hAnsiTheme="majorBidi" w:cstheme="majorBidi"/>
          <w:sz w:val="24"/>
          <w:szCs w:val="24"/>
        </w:rPr>
        <w:t xml:space="preserve">, </w:t>
      </w:r>
      <w:r w:rsidR="00762ACE" w:rsidRPr="00145976">
        <w:rPr>
          <w:rFonts w:asciiTheme="majorBidi" w:hAnsiTheme="majorBidi" w:cstheme="majorBidi"/>
          <w:sz w:val="24"/>
          <w:szCs w:val="24"/>
        </w:rPr>
        <w:t>developing new nanomaterial as an antimicrobial agent</w:t>
      </w:r>
      <w:r w:rsidR="00762ACE">
        <w:rPr>
          <w:rFonts w:asciiTheme="majorBidi" w:hAnsiTheme="majorBidi" w:cstheme="majorBidi"/>
          <w:sz w:val="24"/>
          <w:szCs w:val="24"/>
        </w:rPr>
        <w:t xml:space="preserve">, and </w:t>
      </w:r>
      <w:r w:rsidR="00762ACE" w:rsidRPr="0027596E">
        <w:rPr>
          <w:rFonts w:asciiTheme="majorBidi" w:hAnsiTheme="majorBidi" w:cstheme="majorBidi"/>
          <w:sz w:val="24"/>
          <w:szCs w:val="24"/>
        </w:rPr>
        <w:t>evaluation of medicinal plant products as antimicrobial agen</w:t>
      </w:r>
      <w:r w:rsidR="00762ACE">
        <w:rPr>
          <w:rFonts w:asciiTheme="majorBidi" w:hAnsiTheme="majorBidi" w:cstheme="majorBidi"/>
          <w:sz w:val="24"/>
          <w:szCs w:val="24"/>
        </w:rPr>
        <w:t>ts.</w:t>
      </w:r>
    </w:p>
    <w:p w:rsidR="00762ACE" w:rsidRPr="00E35315" w:rsidRDefault="00762ACE" w:rsidP="00E35315">
      <w:pPr>
        <w:autoSpaceDE w:val="0"/>
        <w:autoSpaceDN w:val="0"/>
        <w:adjustRightInd w:val="0"/>
        <w:spacing w:after="0" w:line="240" w:lineRule="auto"/>
        <w:jc w:val="both"/>
        <w:rPr>
          <w:rFonts w:asciiTheme="majorBidi" w:hAnsiTheme="majorBidi" w:cstheme="majorBidi"/>
          <w:sz w:val="24"/>
          <w:szCs w:val="24"/>
        </w:rPr>
      </w:pPr>
    </w:p>
    <w:p w:rsidR="003E21B0" w:rsidRPr="003E21B0" w:rsidRDefault="003E21B0" w:rsidP="003E21B0">
      <w:pPr>
        <w:rPr>
          <w:lang w:val="en-GB" w:eastAsia="de-DE" w:bidi="en-US"/>
        </w:rPr>
      </w:pPr>
    </w:p>
    <w:sectPr w:rsidR="003E21B0" w:rsidRPr="003E21B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374"/>
    <w:rsid w:val="001B0EEF"/>
    <w:rsid w:val="001B47F9"/>
    <w:rsid w:val="001E2973"/>
    <w:rsid w:val="00200278"/>
    <w:rsid w:val="0020309B"/>
    <w:rsid w:val="00274BC1"/>
    <w:rsid w:val="00357DF3"/>
    <w:rsid w:val="0036190F"/>
    <w:rsid w:val="003E21B0"/>
    <w:rsid w:val="003F70AE"/>
    <w:rsid w:val="0040257D"/>
    <w:rsid w:val="004B4558"/>
    <w:rsid w:val="004B7754"/>
    <w:rsid w:val="004D011E"/>
    <w:rsid w:val="004E0B25"/>
    <w:rsid w:val="005F4548"/>
    <w:rsid w:val="006B457E"/>
    <w:rsid w:val="006C1D2B"/>
    <w:rsid w:val="00762ACE"/>
    <w:rsid w:val="007872CC"/>
    <w:rsid w:val="007B31EE"/>
    <w:rsid w:val="008004C8"/>
    <w:rsid w:val="00896CD9"/>
    <w:rsid w:val="008F6C12"/>
    <w:rsid w:val="009031A9"/>
    <w:rsid w:val="0097692E"/>
    <w:rsid w:val="009B04A6"/>
    <w:rsid w:val="009B5741"/>
    <w:rsid w:val="00A23B8E"/>
    <w:rsid w:val="00B1718D"/>
    <w:rsid w:val="00B17871"/>
    <w:rsid w:val="00B62335"/>
    <w:rsid w:val="00B9358A"/>
    <w:rsid w:val="00BA26EA"/>
    <w:rsid w:val="00BA72FF"/>
    <w:rsid w:val="00C92D61"/>
    <w:rsid w:val="00D110DC"/>
    <w:rsid w:val="00D36E51"/>
    <w:rsid w:val="00D83718"/>
    <w:rsid w:val="00D9094D"/>
    <w:rsid w:val="00DB4B67"/>
    <w:rsid w:val="00E35315"/>
    <w:rsid w:val="00E51FBC"/>
    <w:rsid w:val="00EC7710"/>
    <w:rsid w:val="00EF5374"/>
    <w:rsid w:val="00F26CA9"/>
    <w:rsid w:val="00F50252"/>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123F05-BDB4-4EB9-9343-110A00641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2title">
    <w:name w:val="MDPI_1.2_title"/>
    <w:next w:val="Normal"/>
    <w:qFormat/>
    <w:rsid w:val="00EF5374"/>
    <w:pPr>
      <w:adjustRightInd w:val="0"/>
      <w:snapToGrid w:val="0"/>
      <w:spacing w:after="240" w:line="400" w:lineRule="exact"/>
    </w:pPr>
    <w:rPr>
      <w:rFonts w:ascii="Palatino Linotype" w:eastAsia="Times New Roman" w:hAnsi="Palatino Linotype" w:cs="Times New Roman"/>
      <w:b/>
      <w:snapToGrid w:val="0"/>
      <w:color w:val="000000"/>
      <w:sz w:val="36"/>
      <w:szCs w:val="20"/>
      <w:lang w:val="en-US" w:eastAsia="de-DE" w:bidi="en-US"/>
    </w:rPr>
  </w:style>
  <w:style w:type="character" w:styleId="Hyperlink">
    <w:name w:val="Hyperlink"/>
    <w:basedOn w:val="DefaultParagraphFont"/>
    <w:uiPriority w:val="99"/>
    <w:unhideWhenUsed/>
    <w:rsid w:val="00B1718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mailto:fatin.mn70@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501</Words>
  <Characters>2860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Fatin Nawwab</dc:creator>
  <cp:keywords/>
  <dc:description/>
  <cp:lastModifiedBy>Dr Fatin Nawwab</cp:lastModifiedBy>
  <cp:revision>21</cp:revision>
  <dcterms:created xsi:type="dcterms:W3CDTF">2017-05-12T23:34:00Z</dcterms:created>
  <dcterms:modified xsi:type="dcterms:W3CDTF">2017-05-13T00:10:00Z</dcterms:modified>
</cp:coreProperties>
</file>