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E37" w:rsidRDefault="00AE3E37">
      <w:pPr>
        <w:pStyle w:val="BodyText"/>
        <w:rPr>
          <w:rFonts w:ascii="Times New Roman"/>
          <w:sz w:val="20"/>
        </w:rPr>
      </w:pPr>
    </w:p>
    <w:p w:rsidR="00180804" w:rsidRPr="00384C14" w:rsidRDefault="00180804" w:rsidP="00180804">
      <w:pPr>
        <w:rPr>
          <w:b/>
        </w:rPr>
      </w:pPr>
      <w:r w:rsidRPr="00384C14">
        <w:rPr>
          <w:b/>
        </w:rPr>
        <w:t xml:space="preserve">Challenges and opportunities of communicating vaccine safety in </w:t>
      </w:r>
      <w:r w:rsidR="005F5938">
        <w:rPr>
          <w:b/>
        </w:rPr>
        <w:t>Sub Saharan Africa (SSA)</w:t>
      </w:r>
    </w:p>
    <w:p w:rsidR="000B68EC" w:rsidRDefault="000B68EC" w:rsidP="000B68EC">
      <w:pPr>
        <w:rPr>
          <w:b/>
        </w:rPr>
      </w:pPr>
      <w:r>
        <w:rPr>
          <w:b/>
        </w:rPr>
        <w:t>Edison Arwanire Mworozi MBChB, MMED-Mulago Nat</w:t>
      </w:r>
      <w:r w:rsidR="00AE6C30">
        <w:rPr>
          <w:b/>
        </w:rPr>
        <w:t>ional Referral Hospital   Uganda</w:t>
      </w:r>
    </w:p>
    <w:p w:rsidR="00AE0AD8" w:rsidRPr="00384C14" w:rsidRDefault="00AE0AD8" w:rsidP="000B68EC">
      <w:pPr>
        <w:rPr>
          <w:b/>
        </w:rPr>
      </w:pPr>
      <w:r>
        <w:rPr>
          <w:b/>
        </w:rPr>
        <w:t xml:space="preserve">Joseph </w:t>
      </w:r>
      <w:proofErr w:type="spellStart"/>
      <w:r>
        <w:rPr>
          <w:b/>
        </w:rPr>
        <w:t>Rujumba</w:t>
      </w:r>
      <w:proofErr w:type="spellEnd"/>
      <w:r>
        <w:rPr>
          <w:b/>
        </w:rPr>
        <w:t xml:space="preserve"> BA.SWSA, MA.SSPM, PhD- College of Health Sciences</w:t>
      </w:r>
      <w:r w:rsidR="00BD6B89">
        <w:rPr>
          <w:b/>
        </w:rPr>
        <w:t>, Makerere</w:t>
      </w:r>
      <w:r>
        <w:rPr>
          <w:b/>
        </w:rPr>
        <w:t xml:space="preserve"> University Uganda</w:t>
      </w:r>
    </w:p>
    <w:p w:rsidR="00AE3E37" w:rsidRDefault="00AE3E37">
      <w:pPr>
        <w:rPr>
          <w:rFonts w:ascii="Arial"/>
          <w:sz w:val="21"/>
        </w:rPr>
        <w:sectPr w:rsidR="00AE3E37" w:rsidSect="00AE6C30">
          <w:headerReference w:type="default" r:id="rId8"/>
          <w:footerReference w:type="default" r:id="rId9"/>
          <w:type w:val="continuous"/>
          <w:pgSz w:w="11910" w:h="16840"/>
          <w:pgMar w:top="720" w:right="720" w:bottom="720" w:left="720" w:header="541" w:footer="642" w:gutter="0"/>
          <w:cols w:space="720"/>
          <w:docGrid w:linePitch="299"/>
        </w:sectPr>
      </w:pPr>
    </w:p>
    <w:p w:rsidR="000B68EC" w:rsidRDefault="000B68EC" w:rsidP="00DE5A28">
      <w:pPr>
        <w:pStyle w:val="Heading3"/>
        <w:spacing w:before="147"/>
        <w:ind w:left="0"/>
        <w:jc w:val="both"/>
      </w:pPr>
    </w:p>
    <w:p w:rsidR="00BC6011" w:rsidRDefault="00BC6011" w:rsidP="000B68EC">
      <w:r w:rsidRPr="000B68EC">
        <w:rPr>
          <w:b/>
        </w:rPr>
        <w:t>State</w:t>
      </w:r>
      <w:r>
        <w:rPr>
          <w:b/>
        </w:rPr>
        <w:t>ment of the Problem</w:t>
      </w:r>
      <w:r>
        <w:t>:</w:t>
      </w:r>
      <w:r w:rsidRPr="00723384">
        <w:t xml:space="preserve"> Immunization</w:t>
      </w:r>
      <w:r w:rsidR="000B68EC" w:rsidRPr="00723384">
        <w:t xml:space="preserve"> </w:t>
      </w:r>
      <w:r w:rsidR="0068649F">
        <w:t xml:space="preserve">has </w:t>
      </w:r>
      <w:r w:rsidR="000B68EC" w:rsidRPr="00723384">
        <w:t xml:space="preserve">been recognized as one of the most cost-effective public health intervention which has led to decreased burden of infectious diseases leading to improved life expectancy, decreased mortality and morbidly globally but less so in </w:t>
      </w:r>
      <w:r w:rsidR="005F5938">
        <w:t>SSA</w:t>
      </w:r>
      <w:r w:rsidR="000B68EC" w:rsidRPr="00723384">
        <w:t>. The decrease in infectious diseases and their negative effects has led</w:t>
      </w:r>
      <w:r>
        <w:t xml:space="preserve"> </w:t>
      </w:r>
      <w:r w:rsidR="000B68EC" w:rsidRPr="00723384">
        <w:t xml:space="preserve">to public complacency and questioning the need for further immunization of children and </w:t>
      </w:r>
      <w:r w:rsidR="0068649F">
        <w:t xml:space="preserve">raised </w:t>
      </w:r>
      <w:r w:rsidR="000B68EC" w:rsidRPr="00723384">
        <w:t>concerns about vaccine s</w:t>
      </w:r>
      <w:r w:rsidR="00B86CD9">
        <w:t>afety</w:t>
      </w:r>
      <w:r w:rsidR="0068649F">
        <w:t>.</w:t>
      </w:r>
      <w:r w:rsidR="00B86CD9">
        <w:t xml:space="preserve"> </w:t>
      </w:r>
    </w:p>
    <w:p w:rsidR="00BC6011" w:rsidRDefault="00BC6011" w:rsidP="00BC6011">
      <w:r w:rsidRPr="00EF42FE">
        <w:rPr>
          <w:b/>
        </w:rPr>
        <w:t>Purpose:</w:t>
      </w:r>
      <w:r>
        <w:rPr>
          <w:b/>
        </w:rPr>
        <w:t xml:space="preserve"> </w:t>
      </w:r>
      <w:r>
        <w:t>To describe some of the c</w:t>
      </w:r>
      <w:r w:rsidRPr="00EF42FE">
        <w:t xml:space="preserve">hallenges and opportunities to communicating vaccine safety in </w:t>
      </w:r>
      <w:r w:rsidR="005F5938">
        <w:t>SSA</w:t>
      </w:r>
    </w:p>
    <w:p w:rsidR="00BC6011" w:rsidRPr="00B86CD9" w:rsidRDefault="00B86CD9" w:rsidP="000B68EC">
      <w:r w:rsidRPr="00BC6011">
        <w:rPr>
          <w:b/>
        </w:rPr>
        <w:t>Methods</w:t>
      </w:r>
      <w:r w:rsidR="00BC6011">
        <w:rPr>
          <w:b/>
        </w:rPr>
        <w:t xml:space="preserve">: </w:t>
      </w:r>
      <w:r w:rsidR="00BC6011" w:rsidRPr="00B86CD9">
        <w:t>Literature review</w:t>
      </w:r>
    </w:p>
    <w:p w:rsidR="000B68EC" w:rsidRPr="0022248A" w:rsidRDefault="00B86CD9" w:rsidP="000B68EC">
      <w:pPr>
        <w:rPr>
          <w:b/>
        </w:rPr>
      </w:pPr>
      <w:r w:rsidRPr="00A52CB9">
        <w:rPr>
          <w:b/>
        </w:rPr>
        <w:t>Results:</w:t>
      </w:r>
      <w:r w:rsidRPr="00723384">
        <w:t xml:space="preserve"> There</w:t>
      </w:r>
      <w:r w:rsidR="000B68EC" w:rsidRPr="00723384">
        <w:t xml:space="preserve"> is a widening gap in access to vaccines between developed and developing counties</w:t>
      </w:r>
      <w:r w:rsidR="005F5938">
        <w:t xml:space="preserve"> especially SSA</w:t>
      </w:r>
      <w:r w:rsidR="0068649F">
        <w:t>.</w:t>
      </w:r>
      <w:r w:rsidR="000B68EC" w:rsidRPr="00723384">
        <w:t xml:space="preserve"> Successful </w:t>
      </w:r>
      <w:r w:rsidR="00BD6B89" w:rsidRPr="00723384">
        <w:t>immunizations</w:t>
      </w:r>
      <w:r w:rsidR="000B68EC" w:rsidRPr="00723384">
        <w:t xml:space="preserve"> </w:t>
      </w:r>
      <w:r w:rsidR="0068649F" w:rsidRPr="00723384">
        <w:t>programs depend</w:t>
      </w:r>
      <w:r w:rsidR="000B68EC" w:rsidRPr="00723384">
        <w:t xml:space="preserve"> to large extend on the immunization acceptance</w:t>
      </w:r>
      <w:r w:rsidR="0068649F">
        <w:t>.</w:t>
      </w:r>
      <w:r w:rsidR="000B68EC" w:rsidRPr="00723384">
        <w:t xml:space="preserve"> </w:t>
      </w:r>
      <w:r w:rsidR="0068649F">
        <w:t>O</w:t>
      </w:r>
      <w:r w:rsidR="000B68EC" w:rsidRPr="00723384">
        <w:t xml:space="preserve">ne of the factors leading to low immunization </w:t>
      </w:r>
      <w:r w:rsidR="00BD6B89" w:rsidRPr="00723384">
        <w:t>coverage rates</w:t>
      </w:r>
      <w:r w:rsidR="000B68EC" w:rsidRPr="00723384">
        <w:t xml:space="preserve"> in </w:t>
      </w:r>
      <w:r w:rsidR="005F5938">
        <w:t>SSA</w:t>
      </w:r>
      <w:r w:rsidR="000B68EC" w:rsidRPr="00723384">
        <w:t xml:space="preserve">s is </w:t>
      </w:r>
      <w:r w:rsidR="00BD6B89" w:rsidRPr="00723384">
        <w:t>concern about</w:t>
      </w:r>
      <w:r w:rsidR="000B68EC" w:rsidRPr="00723384">
        <w:t xml:space="preserve"> vaccine safety which may be </w:t>
      </w:r>
      <w:r>
        <w:t>real but often perceived. E</w:t>
      </w:r>
      <w:r w:rsidR="000B68EC" w:rsidRPr="00723384">
        <w:t xml:space="preserve">ffective vaccine safety </w:t>
      </w:r>
      <w:r w:rsidRPr="00723384">
        <w:t>communi</w:t>
      </w:r>
      <w:r>
        <w:t xml:space="preserve">cation </w:t>
      </w:r>
      <w:r w:rsidRPr="00723384">
        <w:t>is</w:t>
      </w:r>
      <w:r w:rsidR="000B68EC" w:rsidRPr="00723384">
        <w:t xml:space="preserve"> important in ensuring vaccine acceptance and improved immunization coverage in developing </w:t>
      </w:r>
      <w:r w:rsidR="00BD6B89" w:rsidRPr="00723384">
        <w:t>countries</w:t>
      </w:r>
      <w:r w:rsidR="00BD6B89">
        <w:t>. Key</w:t>
      </w:r>
      <w:r w:rsidR="00036842">
        <w:t xml:space="preserve"> </w:t>
      </w:r>
      <w:r w:rsidR="000B68EC">
        <w:t>challenges</w:t>
      </w:r>
      <w:r w:rsidR="00036842">
        <w:t xml:space="preserve"> in communicating vaccine safety in developing countries</w:t>
      </w:r>
      <w:r w:rsidR="000B68EC">
        <w:t xml:space="preserve"> include: </w:t>
      </w:r>
      <w:r w:rsidR="00036842">
        <w:t>illiteracy,</w:t>
      </w:r>
      <w:r w:rsidR="000B68EC">
        <w:t xml:space="preserve"> , limited access to information, multiple ethnic groups with many languages, poor health and other infrastructure, negative cultural and religious beliefs, inadequate social mobilization, inadequate number of health workers, inadequate knowledge and skills and poor motivation of health workers ,negative and inaccurate messaging, vaccine hesitancy, inadequate funding and political interference</w:t>
      </w:r>
      <w:r w:rsidR="008C2E28">
        <w:t>.</w:t>
      </w:r>
      <w:r w:rsidR="000B68EC">
        <w:t xml:space="preserve"> </w:t>
      </w:r>
    </w:p>
    <w:p w:rsidR="000B68EC" w:rsidRDefault="000B68EC" w:rsidP="000B68EC">
      <w:pPr>
        <w:jc w:val="both"/>
      </w:pPr>
      <w:r>
        <w:t>The major opportunities to enhance vaccine safety communication include:  strong donor support, availability of administrat</w:t>
      </w:r>
      <w:r w:rsidR="005F5938">
        <w:t>ive</w:t>
      </w:r>
      <w:r>
        <w:t>, political, cultural structures at national</w:t>
      </w:r>
      <w:r w:rsidR="005F5938">
        <w:t>, and</w:t>
      </w:r>
      <w:r>
        <w:t xml:space="preserve"> community levels; existing community and non-government </w:t>
      </w:r>
      <w:proofErr w:type="spellStart"/>
      <w:r>
        <w:t>organization</w:t>
      </w:r>
      <w:r w:rsidR="00036842">
        <w:t>and</w:t>
      </w:r>
      <w:proofErr w:type="spellEnd"/>
      <w:r w:rsidR="005F5938">
        <w:t xml:space="preserve"> </w:t>
      </w:r>
      <w:r>
        <w:t>growing prin</w:t>
      </w:r>
      <w:r w:rsidR="005F5938">
        <w:t xml:space="preserve">t and </w:t>
      </w:r>
      <w:proofErr w:type="gramStart"/>
      <w:r w:rsidR="005F5938">
        <w:t>electronic</w:t>
      </w:r>
      <w:r>
        <w:t xml:space="preserve">  </w:t>
      </w:r>
      <w:proofErr w:type="spellStart"/>
      <w:r>
        <w:t>electronic</w:t>
      </w:r>
      <w:proofErr w:type="spellEnd"/>
      <w:proofErr w:type="gramEnd"/>
      <w:r w:rsidR="005F5938">
        <w:t xml:space="preserve"> media</w:t>
      </w:r>
      <w:r>
        <w:t xml:space="preserve"> </w:t>
      </w:r>
      <w:proofErr w:type="spellStart"/>
      <w:r>
        <w:t>media</w:t>
      </w:r>
      <w:proofErr w:type="spellEnd"/>
      <w:r w:rsidR="00036842">
        <w:t>.</w:t>
      </w:r>
      <w:r>
        <w:t xml:space="preserve"> </w:t>
      </w:r>
    </w:p>
    <w:p w:rsidR="00180804" w:rsidRDefault="000B68EC" w:rsidP="00A52CB9">
      <w:pPr>
        <w:jc w:val="both"/>
      </w:pPr>
      <w:r w:rsidRPr="000B68EC">
        <w:rPr>
          <w:b/>
        </w:rPr>
        <w:t>Conclusion</w:t>
      </w:r>
      <w:r w:rsidR="0068649F">
        <w:rPr>
          <w:b/>
        </w:rPr>
        <w:t xml:space="preserve"> </w:t>
      </w:r>
      <w:r w:rsidRPr="000B68EC">
        <w:rPr>
          <w:b/>
        </w:rPr>
        <w:t>&amp; recommendations:</w:t>
      </w:r>
      <w:r w:rsidRPr="00384C14">
        <w:t xml:space="preserve"> Communicating vaccine </w:t>
      </w:r>
      <w:r w:rsidRPr="00384C14">
        <w:lastRenderedPageBreak/>
        <w:t xml:space="preserve">safety in </w:t>
      </w:r>
      <w:r w:rsidR="00BD6B89">
        <w:t>SSA</w:t>
      </w:r>
      <w:r w:rsidRPr="00384C14">
        <w:t xml:space="preserve"> needs to be strengthened by addressing cultural</w:t>
      </w:r>
      <w:r>
        <w:t>, political, infrastructure, knowledge and skill gaps</w:t>
      </w:r>
      <w:r w:rsidR="00AE0AD8">
        <w:t>; and</w:t>
      </w:r>
      <w:r w:rsidR="00AE0AD8" w:rsidRPr="00AE0AD8">
        <w:t xml:space="preserve"> </w:t>
      </w:r>
      <w:r w:rsidR="00AE0AD8">
        <w:t>dispelling negative messaging</w:t>
      </w:r>
      <w:r w:rsidRPr="00384C14">
        <w:t xml:space="preserve">. </w:t>
      </w:r>
      <w:r w:rsidR="00AE0AD8">
        <w:t>A</w:t>
      </w:r>
      <w:r>
        <w:t>dequate funding and staffing</w:t>
      </w:r>
      <w:r w:rsidR="00AE0AD8">
        <w:t xml:space="preserve"> for</w:t>
      </w:r>
      <w:r w:rsidR="0068649F">
        <w:t xml:space="preserve"> </w:t>
      </w:r>
      <w:r w:rsidR="00AE0AD8">
        <w:t xml:space="preserve">health systems </w:t>
      </w:r>
      <w:r w:rsidR="0068649F">
        <w:t xml:space="preserve">are </w:t>
      </w:r>
      <w:proofErr w:type="gramStart"/>
      <w:r w:rsidR="0068649F">
        <w:t>key</w:t>
      </w:r>
      <w:proofErr w:type="gramEnd"/>
      <w:r>
        <w:t>. T</w:t>
      </w:r>
      <w:r w:rsidRPr="00384C14">
        <w:t>his</w:t>
      </w:r>
      <w:r>
        <w:t xml:space="preserve"> </w:t>
      </w:r>
      <w:r w:rsidRPr="00384C14">
        <w:t>process can tap into existing opportunities</w:t>
      </w:r>
      <w:r>
        <w:t xml:space="preserve"> at international, national and community levels</w:t>
      </w:r>
      <w:r w:rsidRPr="00384C14">
        <w:t>.</w:t>
      </w:r>
    </w:p>
    <w:p w:rsidR="00AE3E37" w:rsidRPr="00DE5A28" w:rsidRDefault="00BB7ED9">
      <w:pPr>
        <w:pStyle w:val="Heading3"/>
        <w:spacing w:before="74"/>
      </w:pPr>
      <w:r w:rsidRPr="00DE5A28">
        <w:t>Communication Cycle</w:t>
      </w:r>
      <w:r w:rsidR="00AE6C30" w:rsidRPr="00DE5A28">
        <w:t>-How communication works</w:t>
      </w:r>
    </w:p>
    <w:p w:rsidR="00AE3E37" w:rsidRPr="00DE5A28" w:rsidRDefault="00AE3E37">
      <w:pPr>
        <w:pStyle w:val="BodyText"/>
        <w:spacing w:before="2"/>
        <w:rPr>
          <w:rFonts w:ascii="Arial"/>
          <w:b/>
          <w:sz w:val="16"/>
        </w:rPr>
      </w:pPr>
    </w:p>
    <w:p w:rsidR="00BB7ED9" w:rsidRDefault="00BB7ED9">
      <w:pPr>
        <w:spacing w:before="157"/>
        <w:ind w:left="100"/>
        <w:rPr>
          <w:rFonts w:ascii="Arial"/>
          <w:b/>
          <w:color w:val="BF5A14"/>
          <w:sz w:val="20"/>
        </w:rPr>
      </w:pPr>
      <w:r>
        <w:rPr>
          <w:rFonts w:ascii="Arial"/>
          <w:b/>
          <w:noProof/>
          <w:color w:val="BF5A14"/>
          <w:sz w:val="20"/>
        </w:rPr>
        <w:drawing>
          <wp:inline distT="0" distB="0" distL="0" distR="0">
            <wp:extent cx="3161914" cy="1574358"/>
            <wp:effectExtent l="0" t="0" r="635"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65475" cy="1576131"/>
                    </a:xfrm>
                    <a:prstGeom prst="rect">
                      <a:avLst/>
                    </a:prstGeom>
                    <a:noFill/>
                    <a:ln>
                      <a:noFill/>
                    </a:ln>
                  </pic:spPr>
                </pic:pic>
              </a:graphicData>
            </a:graphic>
          </wp:inline>
        </w:drawing>
      </w:r>
    </w:p>
    <w:p w:rsidR="00AE3E37" w:rsidRPr="00DE5A28" w:rsidRDefault="00414F7B">
      <w:pPr>
        <w:spacing w:before="157"/>
        <w:ind w:left="100"/>
        <w:rPr>
          <w:b/>
        </w:rPr>
      </w:pPr>
      <w:r w:rsidRPr="00DE5A28">
        <w:rPr>
          <w:b/>
        </w:rPr>
        <w:t>Recent publi</w:t>
      </w:r>
      <w:r w:rsidR="00C33602" w:rsidRPr="00DE5A28">
        <w:rPr>
          <w:b/>
        </w:rPr>
        <w:t>cations</w:t>
      </w:r>
    </w:p>
    <w:p w:rsidR="005E567C" w:rsidRPr="00DE5A28" w:rsidRDefault="005E567C">
      <w:pPr>
        <w:spacing w:before="157"/>
        <w:ind w:left="100"/>
      </w:pPr>
      <w:r w:rsidRPr="00DE5A28">
        <w:t xml:space="preserve">1.Edison M. </w:t>
      </w:r>
      <w:proofErr w:type="spellStart"/>
      <w:r w:rsidRPr="00DE5A28">
        <w:t>Arwanire,William</w:t>
      </w:r>
      <w:proofErr w:type="spellEnd"/>
      <w:r w:rsidRPr="00DE5A28">
        <w:t xml:space="preserve"> Mbabazi &amp; </w:t>
      </w:r>
      <w:proofErr w:type="spellStart"/>
      <w:r w:rsidRPr="00DE5A28">
        <w:t>Possy</w:t>
      </w:r>
      <w:proofErr w:type="spellEnd"/>
      <w:r w:rsidRPr="00DE5A28">
        <w:t xml:space="preserve"> </w:t>
      </w:r>
      <w:proofErr w:type="spellStart"/>
      <w:r w:rsidRPr="00DE5A28">
        <w:t>Mugyenyi</w:t>
      </w:r>
      <w:proofErr w:type="spellEnd"/>
      <w:r w:rsidRPr="00DE5A28">
        <w:t xml:space="preserve">((2016) Communicating Vaccine </w:t>
      </w:r>
      <w:proofErr w:type="spellStart"/>
      <w:r w:rsidRPr="00DE5A28">
        <w:t>Safetyin</w:t>
      </w:r>
      <w:proofErr w:type="spellEnd"/>
      <w:r w:rsidRPr="00DE5A28">
        <w:t xml:space="preserve"> the Context of </w:t>
      </w:r>
      <w:proofErr w:type="spellStart"/>
      <w:r w:rsidRPr="00DE5A28">
        <w:t>ImmunizationPrograms</w:t>
      </w:r>
      <w:proofErr w:type="spellEnd"/>
      <w:r w:rsidRPr="00DE5A28">
        <w:t xml:space="preserve"> in Low  Resource </w:t>
      </w:r>
      <w:proofErr w:type="spellStart"/>
      <w:r w:rsidRPr="00DE5A28">
        <w:t>Settings;Current</w:t>
      </w:r>
      <w:proofErr w:type="spellEnd"/>
      <w:r w:rsidRPr="00DE5A28">
        <w:t xml:space="preserve"> Drug safety ,2015,10,68-75</w:t>
      </w:r>
    </w:p>
    <w:p w:rsidR="005E567C" w:rsidRPr="00DE5A28" w:rsidRDefault="005E567C">
      <w:pPr>
        <w:spacing w:before="157"/>
        <w:ind w:left="100"/>
      </w:pPr>
      <w:proofErr w:type="gramStart"/>
      <w:r w:rsidRPr="00DE5A28">
        <w:t>2.World</w:t>
      </w:r>
      <w:proofErr w:type="gramEnd"/>
      <w:r w:rsidRPr="00DE5A28">
        <w:t xml:space="preserve"> Health(2009) </w:t>
      </w:r>
      <w:proofErr w:type="spellStart"/>
      <w:r w:rsidRPr="00DE5A28">
        <w:t>Organization.Immunization</w:t>
      </w:r>
      <w:proofErr w:type="spellEnd"/>
      <w:r w:rsidRPr="00DE5A28">
        <w:t xml:space="preserve"> </w:t>
      </w:r>
      <w:proofErr w:type="spellStart"/>
      <w:r w:rsidRPr="00DE5A28">
        <w:t>safetyGeneva</w:t>
      </w:r>
      <w:proofErr w:type="spellEnd"/>
      <w:r w:rsidRPr="00DE5A28">
        <w:t xml:space="preserve">&gt;WHO </w:t>
      </w:r>
    </w:p>
    <w:p w:rsidR="005E567C" w:rsidRPr="00DE5A28" w:rsidRDefault="005E567C" w:rsidP="00EB0D79">
      <w:pPr>
        <w:spacing w:before="157"/>
        <w:ind w:left="100"/>
        <w:rPr>
          <w:color w:val="000000" w:themeColor="text1"/>
        </w:rPr>
      </w:pPr>
      <w:r w:rsidRPr="00DE5A28">
        <w:t>3</w:t>
      </w:r>
      <w:r w:rsidR="00EB0D79" w:rsidRPr="00DE5A28">
        <w:t xml:space="preserve">Jacobs </w:t>
      </w:r>
      <w:proofErr w:type="spellStart"/>
      <w:r w:rsidR="00EB0D79" w:rsidRPr="00DE5A28">
        <w:t>F</w:t>
      </w:r>
      <w:proofErr w:type="gramStart"/>
      <w:r w:rsidR="00EB0D79" w:rsidRPr="00DE5A28">
        <w:t>,The</w:t>
      </w:r>
      <w:proofErr w:type="spellEnd"/>
      <w:proofErr w:type="gramEnd"/>
      <w:r w:rsidR="00EB0D79" w:rsidRPr="00DE5A28">
        <w:t xml:space="preserve"> patient </w:t>
      </w:r>
      <w:r w:rsidR="00EB0D79" w:rsidRPr="00DE5A28">
        <w:rPr>
          <w:color w:val="000000" w:themeColor="text1"/>
        </w:rPr>
        <w:t>per doctor Map of the World 2007</w:t>
      </w:r>
    </w:p>
    <w:p w:rsidR="00EB0D79" w:rsidRPr="00DE5A28" w:rsidRDefault="00EB0D79" w:rsidP="00EB0D79">
      <w:pPr>
        <w:spacing w:before="157"/>
        <w:ind w:left="100"/>
        <w:rPr>
          <w:color w:val="000000" w:themeColor="text1"/>
        </w:rPr>
      </w:pPr>
      <w:proofErr w:type="gramStart"/>
      <w:r w:rsidRPr="00DE5A28">
        <w:rPr>
          <w:color w:val="000000" w:themeColor="text1"/>
        </w:rPr>
        <w:t>4.UNICEFCommunication</w:t>
      </w:r>
      <w:proofErr w:type="gramEnd"/>
      <w:r w:rsidRPr="00DE5A28">
        <w:rPr>
          <w:color w:val="000000" w:themeColor="text1"/>
        </w:rPr>
        <w:t xml:space="preserve"> for </w:t>
      </w:r>
      <w:proofErr w:type="spellStart"/>
      <w:r w:rsidRPr="00DE5A28">
        <w:rPr>
          <w:color w:val="000000" w:themeColor="text1"/>
        </w:rPr>
        <w:t>Development:Social</w:t>
      </w:r>
      <w:proofErr w:type="spellEnd"/>
      <w:r w:rsidRPr="00DE5A28">
        <w:rPr>
          <w:color w:val="000000" w:themeColor="text1"/>
        </w:rPr>
        <w:t xml:space="preserve"> mobilization January 2013(</w:t>
      </w:r>
      <w:hyperlink r:id="rId11" w:history="1">
        <w:r w:rsidRPr="00DE5A28">
          <w:rPr>
            <w:rStyle w:val="Hyperlink"/>
            <w:color w:val="000000" w:themeColor="text1"/>
          </w:rPr>
          <w:t>http://www.unicef.org/cbsc/index_42347.html</w:t>
        </w:r>
      </w:hyperlink>
    </w:p>
    <w:p w:rsidR="00EB0D79" w:rsidRPr="00DE5A28" w:rsidRDefault="00EB0D79" w:rsidP="00EB0D79">
      <w:pPr>
        <w:spacing w:before="157"/>
        <w:ind w:left="100"/>
        <w:rPr>
          <w:color w:val="000000" w:themeColor="text1"/>
        </w:rPr>
      </w:pPr>
      <w:proofErr w:type="gramStart"/>
      <w:r w:rsidRPr="00DE5A28">
        <w:rPr>
          <w:color w:val="000000" w:themeColor="text1"/>
        </w:rPr>
        <w:t>5</w:t>
      </w:r>
      <w:r w:rsidR="00E7597B" w:rsidRPr="00DE5A28">
        <w:rPr>
          <w:color w:val="000000" w:themeColor="text1"/>
        </w:rPr>
        <w:t>.Mohanty</w:t>
      </w:r>
      <w:proofErr w:type="gramEnd"/>
      <w:r w:rsidR="00E7597B" w:rsidRPr="00DE5A28">
        <w:rPr>
          <w:color w:val="000000" w:themeColor="text1"/>
        </w:rPr>
        <w:t xml:space="preserve"> </w:t>
      </w:r>
      <w:proofErr w:type="spellStart"/>
      <w:r w:rsidR="00E7597B" w:rsidRPr="00DE5A28">
        <w:rPr>
          <w:color w:val="000000" w:themeColor="text1"/>
        </w:rPr>
        <w:t>M.Parthi</w:t>
      </w:r>
      <w:proofErr w:type="spellEnd"/>
      <w:r w:rsidR="00E7597B" w:rsidRPr="00DE5A28">
        <w:rPr>
          <w:color w:val="000000" w:themeColor="text1"/>
        </w:rPr>
        <w:t xml:space="preserve"> P(2011). Folk and traditional media: a powerful tool for rural </w:t>
      </w:r>
      <w:bookmarkStart w:id="0" w:name="_GoBack"/>
      <w:bookmarkEnd w:id="0"/>
      <w:r w:rsidR="00E7597B" w:rsidRPr="00DE5A28">
        <w:rPr>
          <w:color w:val="000000" w:themeColor="text1"/>
        </w:rPr>
        <w:t>development Jcommunication2011</w:t>
      </w:r>
      <w:proofErr w:type="gramStart"/>
      <w:r w:rsidR="00E7597B" w:rsidRPr="00DE5A28">
        <w:rPr>
          <w:color w:val="000000" w:themeColor="text1"/>
        </w:rPr>
        <w:t>;2</w:t>
      </w:r>
      <w:proofErr w:type="gramEnd"/>
      <w:r w:rsidR="00E7597B" w:rsidRPr="00DE5A28">
        <w:rPr>
          <w:color w:val="000000" w:themeColor="text1"/>
        </w:rPr>
        <w:t>(1):41-47</w:t>
      </w:r>
    </w:p>
    <w:p w:rsidR="00AE3E37" w:rsidRDefault="00AE3E37">
      <w:pPr>
        <w:spacing w:line="200" w:lineRule="exact"/>
        <w:jc w:val="both"/>
        <w:rPr>
          <w:rFonts w:ascii="Calibri" w:hAnsi="Calibri"/>
        </w:rPr>
        <w:sectPr w:rsidR="00AE3E37">
          <w:type w:val="continuous"/>
          <w:pgSz w:w="11910" w:h="16840"/>
          <w:pgMar w:top="1740" w:right="600" w:bottom="840" w:left="620" w:header="720" w:footer="720" w:gutter="0"/>
          <w:cols w:num="2" w:space="720" w:equalWidth="0">
            <w:col w:w="5214" w:space="138"/>
            <w:col w:w="5338"/>
          </w:cols>
        </w:sectPr>
      </w:pPr>
    </w:p>
    <w:p w:rsidR="00AE3E37" w:rsidRDefault="002A741B">
      <w:pPr>
        <w:pStyle w:val="BodyText"/>
        <w:spacing w:line="40" w:lineRule="exact"/>
        <w:ind w:left="2202"/>
        <w:rPr>
          <w:rFonts w:ascii="Calibri"/>
          <w:sz w:val="4"/>
        </w:rPr>
      </w:pPr>
      <w:r>
        <w:rPr>
          <w:rFonts w:ascii="Calibri"/>
          <w:noProof/>
          <w:sz w:val="4"/>
        </w:rPr>
        <w:lastRenderedPageBreak/>
        <mc:AlternateContent>
          <mc:Choice Requires="wpg">
            <w:drawing>
              <wp:inline distT="0" distB="0" distL="0" distR="0" wp14:anchorId="4998CF61" wp14:editId="0658951B">
                <wp:extent cx="3975735" cy="25400"/>
                <wp:effectExtent l="1270" t="0" r="4445" b="3175"/>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735" cy="25400"/>
                          <a:chOff x="0" y="0"/>
                          <a:chExt cx="6261" cy="40"/>
                        </a:xfrm>
                      </wpg:grpSpPr>
                      <wps:wsp>
                        <wps:cNvPr id="2" name="Line 5"/>
                        <wps:cNvCnPr/>
                        <wps:spPr bwMode="auto">
                          <a:xfrm>
                            <a:off x="20" y="20"/>
                            <a:ext cx="6221" cy="0"/>
                          </a:xfrm>
                          <a:prstGeom prst="line">
                            <a:avLst/>
                          </a:prstGeom>
                          <a:noFill/>
                          <a:ln w="25400">
                            <a:solidFill>
                              <a:srgbClr val="00408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4" o:spid="_x0000_s1026" style="width:313.05pt;height:2pt;mso-position-horizontal-relative:char;mso-position-vertical-relative:line" coordsize="62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">
                <v:line id="Line 5" o:spid="_x0000_s1027" style="position:absolute;visibility:visible;mso-wrap-style:square" from="20,20" to="624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f+sMAAADaAAAADwAAAGRycy9kb3ducmV2LnhtbESPQUsDMRSE74L/ITzBm00sUmTbtFRF&#10;qvTU2h56e2xeN0uTlzVJt+u/NwXB4zAz3zCzxeCd6CmmNrCGx5ECQVwH03KjYff1/vAMImVkgy4w&#10;afihBIv57c0MKxMuvKF+mxtRIJwq1GBz7iopU23JYxqFjrh4xxA95iJjI03ES4F7J8dKTaTHlsuC&#10;xY5eLdWn7dlrUJvviVVv7vPUv+T+sHLrp30btb6/G5ZTEJmG/B/+a38YDWO4Xik3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2Pn/rDAAAA2gAAAA8AAAAAAAAAAAAA&#10;AAAAoQIAAGRycy9kb3ducmV2LnhtbFBLBQYAAAAABAAEAPkAAACRAwAAAAA=&#10;" strokecolor="#004080" strokeweight="2pt"/>
                <w10:anchorlock/>
              </v:group>
            </w:pict>
          </mc:Fallback>
        </mc:AlternateContent>
      </w:r>
    </w:p>
    <w:p w:rsidR="00AE3E37" w:rsidRDefault="00404E5B" w:rsidP="00404E5B">
      <w:pPr>
        <w:spacing w:before="92"/>
        <w:ind w:right="4234"/>
        <w:rPr>
          <w:rFonts w:ascii="Arial"/>
        </w:rPr>
      </w:pPr>
      <w:r>
        <w:rPr>
          <w:rFonts w:ascii="Arial"/>
          <w:color w:val="BF5A14"/>
        </w:rPr>
        <w:t xml:space="preserve">   </w:t>
      </w:r>
      <w:r w:rsidR="007E5DDF">
        <w:rPr>
          <w:noProof/>
        </w:rPr>
        <w:drawing>
          <wp:inline distT="0" distB="0" distL="0" distR="0" wp14:anchorId="0F5CF09F" wp14:editId="7B87C5FF">
            <wp:extent cx="985962" cy="929628"/>
            <wp:effectExtent l="0" t="0" r="5080" b="4445"/>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9208" cy="932688"/>
                    </a:xfrm>
                    <a:prstGeom prst="rect">
                      <a:avLst/>
                    </a:prstGeom>
                    <a:noFill/>
                    <a:ln>
                      <a:noFill/>
                    </a:ln>
                  </pic:spPr>
                </pic:pic>
              </a:graphicData>
            </a:graphic>
          </wp:inline>
        </w:drawing>
      </w:r>
      <w:r w:rsidR="007E5DDF">
        <w:rPr>
          <w:rFonts w:ascii="Arial"/>
          <w:color w:val="BF5A14"/>
        </w:rPr>
        <w:t xml:space="preserve"> </w:t>
      </w:r>
      <w:r w:rsidR="00A9710C" w:rsidRPr="00DE5A28">
        <w:rPr>
          <w:rFonts w:ascii="Arial"/>
        </w:rPr>
        <w:t>Biography</w:t>
      </w:r>
      <w:r w:rsidRPr="00DE5A28">
        <w:rPr>
          <w:rFonts w:ascii="Arial"/>
        </w:rPr>
        <w:t xml:space="preserve"> </w:t>
      </w:r>
    </w:p>
    <w:p w:rsidR="007E5DDF" w:rsidRPr="00A93E2A" w:rsidRDefault="007E5DDF" w:rsidP="007E5DDF">
      <w:pPr>
        <w:ind w:right="-533"/>
        <w:jc w:val="both"/>
        <w:outlineLvl w:val="0"/>
        <w:rPr>
          <w:rFonts w:ascii="Garamond" w:hAnsi="Garamond" w:cs="Times New Roman"/>
          <w:sz w:val="16"/>
          <w:szCs w:val="16"/>
          <w:lang w:val="en-GB"/>
        </w:rPr>
      </w:pPr>
      <w:r w:rsidRPr="00A93E2A">
        <w:rPr>
          <w:rFonts w:ascii="Garamond" w:hAnsi="Garamond" w:cs="Times New Roman"/>
          <w:color w:val="181512"/>
          <w:sz w:val="16"/>
          <w:szCs w:val="16"/>
        </w:rPr>
        <w:t xml:space="preserve">A Ugandan </w:t>
      </w:r>
      <w:proofErr w:type="spellStart"/>
      <w:r w:rsidRPr="00A93E2A">
        <w:rPr>
          <w:rFonts w:ascii="Garamond" w:hAnsi="Garamond" w:cs="Times New Roman"/>
          <w:color w:val="181512"/>
          <w:sz w:val="16"/>
          <w:szCs w:val="16"/>
        </w:rPr>
        <w:t>Paediatrician</w:t>
      </w:r>
      <w:proofErr w:type="spellEnd"/>
      <w:r w:rsidRPr="00A93E2A">
        <w:rPr>
          <w:rFonts w:ascii="Garamond" w:hAnsi="Garamond" w:cs="Times New Roman"/>
          <w:color w:val="181512"/>
          <w:sz w:val="16"/>
          <w:szCs w:val="16"/>
        </w:rPr>
        <w:t xml:space="preserve"> with keen interest in infectious diseases and childhood immunization. </w:t>
      </w:r>
      <w:proofErr w:type="gramStart"/>
      <w:r w:rsidRPr="00A93E2A">
        <w:rPr>
          <w:rFonts w:ascii="Garamond" w:hAnsi="Garamond" w:cs="Times New Roman"/>
          <w:color w:val="181512"/>
          <w:sz w:val="16"/>
          <w:szCs w:val="16"/>
        </w:rPr>
        <w:t>Currently working as a senior consultant Pediatrician at Mulago National Referral Hospital and Honorary lecturer at the College of Health Sciences Makerere University.</w:t>
      </w:r>
      <w:proofErr w:type="gramEnd"/>
      <w:r w:rsidRPr="00A93E2A">
        <w:rPr>
          <w:rFonts w:ascii="Garamond" w:hAnsi="Garamond" w:cs="Times New Roman"/>
          <w:color w:val="181512"/>
          <w:sz w:val="16"/>
          <w:szCs w:val="16"/>
        </w:rPr>
        <w:t xml:space="preserve"> </w:t>
      </w:r>
      <w:proofErr w:type="gramStart"/>
      <w:r w:rsidRPr="00A93E2A">
        <w:rPr>
          <w:rFonts w:ascii="Garamond" w:hAnsi="Garamond" w:cs="Times New Roman"/>
          <w:sz w:val="16"/>
          <w:szCs w:val="16"/>
          <w:lang w:val="en-GB"/>
        </w:rPr>
        <w:t>Actively involved in the Uganda National Expanded Programme on Immunization and introduction of New Vaccines into routine immunization.</w:t>
      </w:r>
      <w:proofErr w:type="gramEnd"/>
      <w:r w:rsidRPr="00A93E2A">
        <w:rPr>
          <w:rFonts w:ascii="Garamond" w:hAnsi="Garamond" w:cs="Times New Roman"/>
          <w:sz w:val="16"/>
          <w:szCs w:val="16"/>
          <w:lang w:val="en-GB"/>
        </w:rPr>
        <w:t xml:space="preserve">  Has </w:t>
      </w:r>
      <w:r w:rsidRPr="00A93E2A">
        <w:rPr>
          <w:rFonts w:ascii="Garamond" w:hAnsi="Garamond" w:cs="Times New Roman"/>
          <w:color w:val="181512"/>
          <w:sz w:val="16"/>
          <w:szCs w:val="16"/>
        </w:rPr>
        <w:t xml:space="preserve">published widely and a peer reviewer for several journals.  </w:t>
      </w:r>
    </w:p>
    <w:p w:rsidR="00475B8A" w:rsidRDefault="007E5DDF" w:rsidP="007E5DDF">
      <w:pPr>
        <w:spacing w:before="62"/>
        <w:ind w:right="4235"/>
        <w:jc w:val="both"/>
        <w:rPr>
          <w:rFonts w:ascii="Arial"/>
          <w:sz w:val="14"/>
        </w:rPr>
      </w:pPr>
      <w:r w:rsidRPr="00A93E2A">
        <w:rPr>
          <w:rFonts w:ascii="Garamond" w:hAnsi="Garamond" w:cs="Times New Roman"/>
          <w:color w:val="181512"/>
          <w:sz w:val="16"/>
          <w:szCs w:val="16"/>
        </w:rPr>
        <w:t>A member of several professional and technical bodies including : the Uganda Medical association, Uganda Pediatric Association,  International Society for Infectious diseases, International Pediatric Association, Vienna Vaccine safety Initiative,  East African Rotavirus Advisory Board (GSK)&amp;  Institutional Biosafety committees for the Makerere University and Walter Reed Collaborative HIV Vaccine Trials;  East African Centre for Vaccines and Immunization and member. External Expert Advisory group on Stronger Systems for Routine Immunization Project in Uganda and a Member of the East African Meningococcal Advisory Board (</w:t>
      </w:r>
      <w:proofErr w:type="spellStart"/>
      <w:r w:rsidRPr="00A93E2A">
        <w:rPr>
          <w:rFonts w:ascii="Garamond" w:hAnsi="Garamond" w:cs="Times New Roman"/>
          <w:color w:val="181512"/>
          <w:sz w:val="16"/>
          <w:szCs w:val="16"/>
        </w:rPr>
        <w:t>Pfizer</w:t>
      </w:r>
      <w:r w:rsidR="00A9710C">
        <w:rPr>
          <w:rFonts w:ascii="Arial"/>
          <w:sz w:val="14"/>
        </w:rPr>
        <w:t>Email</w:t>
      </w:r>
      <w:proofErr w:type="spellEnd"/>
      <w:r w:rsidR="00A9710C">
        <w:rPr>
          <w:rFonts w:ascii="Arial"/>
          <w:sz w:val="14"/>
        </w:rPr>
        <w:t xml:space="preserve">: </w:t>
      </w:r>
    </w:p>
    <w:p w:rsidR="00AE3E37" w:rsidRDefault="00A7340E" w:rsidP="007E5DDF">
      <w:pPr>
        <w:spacing w:before="62"/>
        <w:ind w:right="4235"/>
        <w:jc w:val="both"/>
        <w:rPr>
          <w:rFonts w:ascii="Arial"/>
          <w:sz w:val="14"/>
        </w:rPr>
      </w:pPr>
      <w:hyperlink r:id="rId13" w:history="1">
        <w:r w:rsidR="007E5DDF" w:rsidRPr="005642CE">
          <w:rPr>
            <w:rStyle w:val="Hyperlink"/>
            <w:rFonts w:ascii="Arial"/>
            <w:sz w:val="14"/>
          </w:rPr>
          <w:t>emworozi@gmail.com</w:t>
        </w:r>
      </w:hyperlink>
    </w:p>
    <w:p w:rsidR="00AE3E37" w:rsidRDefault="002A741B">
      <w:pPr>
        <w:pStyle w:val="BodyText"/>
        <w:spacing w:before="2"/>
        <w:rPr>
          <w:rFonts w:ascii="Arial"/>
          <w:sz w:val="19"/>
        </w:rPr>
      </w:pPr>
      <w:r>
        <w:rPr>
          <w:noProof/>
        </w:rPr>
        <mc:AlternateContent>
          <mc:Choice Requires="wps">
            <w:drawing>
              <wp:anchor distT="4294967295" distB="4294967295" distL="0" distR="0" simplePos="0" relativeHeight="1072" behindDoc="0" locked="0" layoutInCell="1" allowOverlap="1">
                <wp:simplePos x="0" y="0"/>
                <wp:positionH relativeFrom="page">
                  <wp:posOffset>2058670</wp:posOffset>
                </wp:positionH>
                <wp:positionV relativeFrom="paragraph">
                  <wp:posOffset>168274</wp:posOffset>
                </wp:positionV>
                <wp:extent cx="3442335" cy="0"/>
                <wp:effectExtent l="0" t="0" r="24765" b="19050"/>
                <wp:wrapTopAndBottom/>
                <wp:docPr id="1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2335" cy="0"/>
                        </a:xfrm>
                        <a:prstGeom prst="line">
                          <a:avLst/>
                        </a:prstGeom>
                        <a:noFill/>
                        <a:ln w="6350">
                          <a:solidFill>
                            <a:srgbClr val="004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107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62.1pt,13.25pt" to="433.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" strokecolor="#004080" strokeweight=".5pt">
                <w10:wrap type="topAndBottom" anchorx="page"/>
              </v:line>
            </w:pict>
          </mc:Fallback>
        </mc:AlternateContent>
      </w:r>
    </w:p>
    <w:p w:rsidR="00AE3E37" w:rsidRDefault="00AE3E37">
      <w:pPr>
        <w:pStyle w:val="BodyText"/>
        <w:rPr>
          <w:rFonts w:ascii="Arial"/>
          <w:sz w:val="20"/>
        </w:rPr>
      </w:pPr>
    </w:p>
    <w:p w:rsidR="00AE3E37" w:rsidRDefault="00AE3E37">
      <w:pPr>
        <w:pStyle w:val="BodyText"/>
        <w:rPr>
          <w:rFonts w:ascii="Arial"/>
          <w:sz w:val="20"/>
        </w:rPr>
      </w:pPr>
    </w:p>
    <w:p w:rsidR="00AE3E37" w:rsidRDefault="00AE3E37">
      <w:pPr>
        <w:pStyle w:val="BodyText"/>
        <w:spacing w:before="7"/>
        <w:rPr>
          <w:rFonts w:ascii="Arial"/>
          <w:sz w:val="29"/>
        </w:rPr>
      </w:pPr>
    </w:p>
    <w:p w:rsidR="00AE3E37" w:rsidRDefault="00AE3E37">
      <w:pPr>
        <w:rPr>
          <w:rFonts w:ascii="Minion Pro"/>
          <w:sz w:val="24"/>
        </w:rPr>
        <w:sectPr w:rsidR="00AE3E37">
          <w:type w:val="continuous"/>
          <w:pgSz w:w="11910" w:h="16840"/>
          <w:pgMar w:top="1740" w:right="600" w:bottom="840" w:left="620" w:header="720" w:footer="720" w:gutter="0"/>
          <w:cols w:space="720"/>
        </w:sectPr>
      </w:pPr>
    </w:p>
    <w:p w:rsidR="00AE3E37" w:rsidRDefault="00AE3E37">
      <w:pPr>
        <w:pStyle w:val="BodyText"/>
        <w:spacing w:before="3"/>
        <w:rPr>
          <w:rFonts w:ascii="Minion Pro"/>
          <w:sz w:val="26"/>
        </w:rPr>
      </w:pPr>
    </w:p>
    <w:p w:rsidR="00AE3E37" w:rsidRDefault="00A9710C">
      <w:pPr>
        <w:spacing w:before="47" w:line="400" w:lineRule="exact"/>
        <w:ind w:left="100"/>
        <w:rPr>
          <w:rFonts w:ascii="Minion Pro"/>
          <w:b/>
          <w:sz w:val="36"/>
        </w:rPr>
      </w:pPr>
      <w:r>
        <w:rPr>
          <w:rFonts w:ascii="Minion Pro"/>
          <w:b/>
          <w:color w:val="337AB7"/>
          <w:sz w:val="36"/>
        </w:rPr>
        <w:t>Women, trauma and alcohol dependency: Connections and disconnections in alcohol treatment for women</w:t>
      </w:r>
    </w:p>
    <w:p w:rsidR="00AE3E37" w:rsidRDefault="00A9710C">
      <w:pPr>
        <w:pStyle w:val="BodyText"/>
        <w:spacing w:before="73" w:line="198" w:lineRule="exact"/>
        <w:ind w:left="100" w:right="5987"/>
        <w:rPr>
          <w:rFonts w:ascii="Arial"/>
        </w:rPr>
      </w:pPr>
      <w:r>
        <w:rPr>
          <w:rFonts w:ascii="Arial"/>
        </w:rPr>
        <w:t xml:space="preserve">Deanna L </w:t>
      </w:r>
      <w:proofErr w:type="spellStart"/>
      <w:r>
        <w:rPr>
          <w:rFonts w:ascii="Arial"/>
        </w:rPr>
        <w:t>Mulvihill</w:t>
      </w:r>
      <w:proofErr w:type="spellEnd"/>
      <w:r>
        <w:rPr>
          <w:rFonts w:ascii="Arial"/>
        </w:rPr>
        <w:t xml:space="preserve">, RN PhD, TLI Foundation, USA Deanna L </w:t>
      </w:r>
      <w:proofErr w:type="spellStart"/>
      <w:r>
        <w:rPr>
          <w:rFonts w:ascii="Arial"/>
        </w:rPr>
        <w:t>Mulvihill</w:t>
      </w:r>
      <w:proofErr w:type="spellEnd"/>
      <w:r>
        <w:rPr>
          <w:rFonts w:ascii="Arial"/>
        </w:rPr>
        <w:t>, RN PhD, TLI Foundation, USA</w:t>
      </w:r>
    </w:p>
    <w:p w:rsidR="00AE3E37" w:rsidRDefault="002A741B">
      <w:pPr>
        <w:pStyle w:val="BodyText"/>
        <w:spacing w:before="3"/>
        <w:rPr>
          <w:rFonts w:ascii="Arial"/>
          <w:sz w:val="28"/>
        </w:rPr>
      </w:pPr>
      <w:r>
        <w:rPr>
          <w:noProof/>
        </w:rPr>
        <mc:AlternateContent>
          <mc:Choice Requires="wps">
            <w:drawing>
              <wp:anchor distT="4294967295" distB="4294967295" distL="0" distR="0" simplePos="0" relativeHeight="1096" behindDoc="0" locked="0" layoutInCell="1" allowOverlap="1">
                <wp:simplePos x="0" y="0"/>
                <wp:positionH relativeFrom="page">
                  <wp:posOffset>3853815</wp:posOffset>
                </wp:positionH>
                <wp:positionV relativeFrom="paragraph">
                  <wp:posOffset>244474</wp:posOffset>
                </wp:positionV>
                <wp:extent cx="3251200" cy="0"/>
                <wp:effectExtent l="0" t="0" r="25400" b="19050"/>
                <wp:wrapTopAndBottom/>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1200" cy="0"/>
                        </a:xfrm>
                        <a:prstGeom prst="line">
                          <a:avLst/>
                        </a:prstGeom>
                        <a:noFill/>
                        <a:ln w="25400">
                          <a:solidFill>
                            <a:srgbClr val="004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109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03.45pt,19.25pt" to="559.4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" strokecolor="#004080" strokeweight="2pt">
                <w10:wrap type="topAndBottom" anchorx="page"/>
              </v:line>
            </w:pict>
          </mc:Fallback>
        </mc:AlternateContent>
      </w:r>
    </w:p>
    <w:p w:rsidR="00AE3E37" w:rsidRDefault="00AE3E37">
      <w:pPr>
        <w:rPr>
          <w:rFonts w:ascii="Arial"/>
          <w:sz w:val="28"/>
        </w:rPr>
        <w:sectPr w:rsidR="00AE3E37">
          <w:pgSz w:w="11910" w:h="16840"/>
          <w:pgMar w:top="1740" w:right="580" w:bottom="840" w:left="620" w:header="541" w:footer="642" w:gutter="0"/>
          <w:cols w:space="720"/>
        </w:sectPr>
      </w:pPr>
    </w:p>
    <w:p w:rsidR="00AE3E37" w:rsidRDefault="00A9710C">
      <w:pPr>
        <w:pStyle w:val="Heading3"/>
        <w:spacing w:line="218" w:lineRule="exact"/>
        <w:jc w:val="both"/>
      </w:pPr>
      <w:r>
        <w:rPr>
          <w:color w:val="BF5A14"/>
        </w:rPr>
        <w:lastRenderedPageBreak/>
        <w:t>Abstract</w:t>
      </w:r>
    </w:p>
    <w:p w:rsidR="00AE3E37" w:rsidRDefault="00A9710C">
      <w:pPr>
        <w:pStyle w:val="BodyText"/>
        <w:spacing w:before="76" w:line="264" w:lineRule="auto"/>
        <w:ind w:left="100"/>
        <w:jc w:val="both"/>
      </w:pPr>
      <w:r>
        <w:t xml:space="preserve">Statement of the Problem: Women who have experienced intimate </w:t>
      </w:r>
      <w:proofErr w:type="spellStart"/>
      <w:r>
        <w:t>partnerviolence</w:t>
      </w:r>
      <w:proofErr w:type="spellEnd"/>
      <w:r w:rsidR="000E2911">
        <w:t xml:space="preserve"> </w:t>
      </w:r>
      <w:r>
        <w:t>(IPV)</w:t>
      </w:r>
      <w:r w:rsidR="000E2911">
        <w:t xml:space="preserve"> </w:t>
      </w:r>
      <w:r>
        <w:t>are</w:t>
      </w:r>
      <w:r w:rsidR="000E2911">
        <w:t xml:space="preserve"> </w:t>
      </w:r>
      <w:r>
        <w:t>at</w:t>
      </w:r>
      <w:r w:rsidR="000E2911">
        <w:t xml:space="preserve"> </w:t>
      </w:r>
      <w:r>
        <w:t>greater</w:t>
      </w:r>
      <w:r w:rsidR="000E2911">
        <w:t xml:space="preserve"> </w:t>
      </w:r>
      <w:r>
        <w:t>risk</w:t>
      </w:r>
      <w:r w:rsidR="000E2911">
        <w:t xml:space="preserve"> </w:t>
      </w:r>
      <w:r>
        <w:t>for</w:t>
      </w:r>
      <w:r w:rsidR="000E2911">
        <w:t xml:space="preserve"> </w:t>
      </w:r>
      <w:r>
        <w:t>physical</w:t>
      </w:r>
      <w:r w:rsidR="000E2911">
        <w:t xml:space="preserve"> </w:t>
      </w:r>
      <w:r>
        <w:t>and</w:t>
      </w:r>
      <w:r w:rsidR="000E2911">
        <w:t xml:space="preserve"> </w:t>
      </w:r>
      <w:r>
        <w:t>mental</w:t>
      </w:r>
      <w:r w:rsidR="000E2911">
        <w:t xml:space="preserve"> </w:t>
      </w:r>
      <w:r>
        <w:t>health problems including posttraumatic stress disorder (PTSD) and alcohol dependency. On their own IPV, PTSD and alcohol dependency result   in significant personal, social and economic cost and the impact of all three</w:t>
      </w:r>
      <w:r w:rsidR="000E2911">
        <w:t xml:space="preserve"> </w:t>
      </w:r>
      <w:r>
        <w:t>may</w:t>
      </w:r>
      <w:r w:rsidR="000E2911">
        <w:t xml:space="preserve"> </w:t>
      </w:r>
      <w:r>
        <w:t>compound</w:t>
      </w:r>
      <w:r w:rsidR="000E2911">
        <w:t xml:space="preserve"> </w:t>
      </w:r>
      <w:r>
        <w:t>these</w:t>
      </w:r>
      <w:r w:rsidR="000E2911">
        <w:t xml:space="preserve"> </w:t>
      </w:r>
      <w:r>
        <w:t>costs.</w:t>
      </w:r>
      <w:r w:rsidR="000E2911">
        <w:t xml:space="preserve"> </w:t>
      </w:r>
      <w:r>
        <w:t>Researchers</w:t>
      </w:r>
      <w:r w:rsidR="000E2911">
        <w:t xml:space="preserve"> </w:t>
      </w:r>
      <w:r>
        <w:t>have</w:t>
      </w:r>
      <w:r w:rsidR="000E2911">
        <w:t xml:space="preserve"> </w:t>
      </w:r>
      <w:r>
        <w:t>reported</w:t>
      </w:r>
      <w:r w:rsidR="000E2911">
        <w:t xml:space="preserve"> </w:t>
      </w:r>
      <w:r>
        <w:t>that</w:t>
      </w:r>
      <w:r w:rsidR="000E2911">
        <w:t xml:space="preserve"> </w:t>
      </w:r>
      <w:r>
        <w:t>women with these experiences are more difficult to treat; many do</w:t>
      </w:r>
      <w:r w:rsidR="000E2911">
        <w:t xml:space="preserve"> </w:t>
      </w:r>
      <w:r>
        <w:t>not</w:t>
      </w:r>
      <w:r w:rsidR="000E2911">
        <w:t xml:space="preserve"> </w:t>
      </w:r>
      <w:r>
        <w:t>access treatment</w:t>
      </w:r>
      <w:r w:rsidR="000E2911">
        <w:t xml:space="preserve"> </w:t>
      </w:r>
      <w:r>
        <w:t>and</w:t>
      </w:r>
      <w:r w:rsidR="000E2911">
        <w:t xml:space="preserve"> </w:t>
      </w:r>
      <w:r>
        <w:t>those</w:t>
      </w:r>
      <w:r w:rsidR="000E2911">
        <w:t xml:space="preserve"> </w:t>
      </w:r>
      <w:r>
        <w:t>who</w:t>
      </w:r>
      <w:r w:rsidR="000E2911">
        <w:t xml:space="preserve"> </w:t>
      </w:r>
      <w:r>
        <w:t>do,</w:t>
      </w:r>
      <w:r w:rsidR="000E2911">
        <w:t xml:space="preserve"> </w:t>
      </w:r>
      <w:r>
        <w:t>frequently</w:t>
      </w:r>
      <w:r w:rsidR="000E2911">
        <w:t xml:space="preserve"> </w:t>
      </w:r>
      <w:r>
        <w:t>do</w:t>
      </w:r>
      <w:r w:rsidR="000E2911">
        <w:t xml:space="preserve"> </w:t>
      </w:r>
      <w:r>
        <w:t>not</w:t>
      </w:r>
      <w:r w:rsidR="000E2911">
        <w:t xml:space="preserve"> </w:t>
      </w:r>
      <w:r>
        <w:t>stay</w:t>
      </w:r>
      <w:r w:rsidR="000E2911">
        <w:t xml:space="preserve"> </w:t>
      </w:r>
      <w:r>
        <w:t>because</w:t>
      </w:r>
      <w:r w:rsidR="000E2911">
        <w:t xml:space="preserve"> </w:t>
      </w:r>
      <w:r>
        <w:t>of</w:t>
      </w:r>
      <w:r w:rsidR="000E2911">
        <w:t xml:space="preserve"> </w:t>
      </w:r>
      <w:r>
        <w:t>difficulty</w:t>
      </w:r>
    </w:p>
    <w:p w:rsidR="00AE3E37" w:rsidRDefault="00A9710C">
      <w:pPr>
        <w:spacing w:before="63"/>
        <w:ind w:left="1428" w:right="1579"/>
        <w:jc w:val="center"/>
        <w:rPr>
          <w:rFonts w:ascii="Arial"/>
        </w:rPr>
      </w:pPr>
      <w:r>
        <w:br w:type="column"/>
      </w:r>
      <w:r>
        <w:rPr>
          <w:rFonts w:ascii="Arial"/>
          <w:color w:val="BF5A14"/>
        </w:rPr>
        <w:t>Biography</w:t>
      </w:r>
    </w:p>
    <w:p w:rsidR="00AE3E37" w:rsidRDefault="004F3523">
      <w:pPr>
        <w:spacing w:before="41" w:line="154" w:lineRule="exact"/>
        <w:ind w:left="100" w:right="250"/>
        <w:jc w:val="both"/>
        <w:rPr>
          <w:rFonts w:ascii="Arial"/>
          <w:sz w:val="14"/>
        </w:rPr>
      </w:pPr>
      <w:r>
        <w:rPr>
          <w:noProof/>
        </w:rPr>
        <w:drawing>
          <wp:anchor distT="0" distB="0" distL="114300" distR="114300" simplePos="0" relativeHeight="251661312" behindDoc="0" locked="0" layoutInCell="1" allowOverlap="1">
            <wp:simplePos x="0" y="0"/>
            <wp:positionH relativeFrom="column">
              <wp:posOffset>62230</wp:posOffset>
            </wp:positionH>
            <wp:positionV relativeFrom="paragraph">
              <wp:posOffset>42545</wp:posOffset>
            </wp:positionV>
            <wp:extent cx="572135" cy="720090"/>
            <wp:effectExtent l="0" t="0" r="0" b="0"/>
            <wp:wrapSquare wrapText="bothSides"/>
            <wp:docPr id="4" name="Picture 4" descr="http://www.omicsgroup.com/conferences/ACS/conference/photos/Probiotics-2015-Miralimova-Sh-336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omicsgroup.com/conferences/ACS/conference/photos/Probiotics-2015-Miralimova-Sh-33667.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135" cy="720090"/>
                    </a:xfrm>
                    <a:prstGeom prst="rect">
                      <a:avLst/>
                    </a:prstGeom>
                    <a:noFill/>
                    <a:ln>
                      <a:noFill/>
                    </a:ln>
                  </pic:spPr>
                </pic:pic>
              </a:graphicData>
            </a:graphic>
          </wp:anchor>
        </w:drawing>
      </w:r>
      <w:r w:rsidR="00A9710C">
        <w:rPr>
          <w:rFonts w:ascii="Arial"/>
          <w:sz w:val="14"/>
        </w:rPr>
        <w:t xml:space="preserve">Deanna </w:t>
      </w:r>
      <w:proofErr w:type="spellStart"/>
      <w:r w:rsidR="00A9710C">
        <w:rPr>
          <w:rFonts w:ascii="Arial"/>
          <w:sz w:val="14"/>
        </w:rPr>
        <w:t>Mulvihill</w:t>
      </w:r>
      <w:proofErr w:type="spellEnd"/>
      <w:r w:rsidR="00A9710C">
        <w:rPr>
          <w:rFonts w:ascii="Arial"/>
          <w:sz w:val="14"/>
        </w:rPr>
        <w:t xml:space="preserve"> has her expertise in evaluation and passion in improving the health and wellbeing. Her open and contextual evaluation model based on responsiveconstructivistscreatesnewpathwaysforimprovinghealthcare.She has built this model after years of experience in research, evaluation, teaching and administration both in hospital and education institutions. The </w:t>
      </w:r>
      <w:proofErr w:type="gramStart"/>
      <w:r w:rsidR="00A9710C">
        <w:rPr>
          <w:rFonts w:ascii="Arial"/>
          <w:sz w:val="14"/>
        </w:rPr>
        <w:t>foundation  is</w:t>
      </w:r>
      <w:proofErr w:type="gramEnd"/>
      <w:r w:rsidR="00A9710C">
        <w:rPr>
          <w:rFonts w:ascii="Arial"/>
          <w:sz w:val="14"/>
        </w:rPr>
        <w:t xml:space="preserve"> based on fourth generation evaluation (</w:t>
      </w:r>
      <w:proofErr w:type="spellStart"/>
      <w:r w:rsidR="00A9710C">
        <w:rPr>
          <w:rFonts w:ascii="Arial"/>
          <w:sz w:val="14"/>
        </w:rPr>
        <w:t>Guba</w:t>
      </w:r>
      <w:proofErr w:type="spellEnd"/>
      <w:r w:rsidR="00A9710C">
        <w:rPr>
          <w:rFonts w:ascii="Arial"/>
          <w:sz w:val="14"/>
        </w:rPr>
        <w:t xml:space="preserve">&amp; Lincoln, 1989) which is a methodologythatutilizesthepreviousgenerationsofevaluation:measurement, description and judgment. It allows for value-pluralism. This approach is responsive to all stakeholders and has a different way </w:t>
      </w:r>
      <w:proofErr w:type="spellStart"/>
      <w:r w:rsidR="00A9710C">
        <w:rPr>
          <w:rFonts w:ascii="Arial"/>
          <w:sz w:val="14"/>
        </w:rPr>
        <w:t>offocusing</w:t>
      </w:r>
      <w:proofErr w:type="spellEnd"/>
      <w:r w:rsidR="00A9710C">
        <w:rPr>
          <w:rFonts w:ascii="Arial"/>
          <w:sz w:val="14"/>
        </w:rPr>
        <w:t>.</w:t>
      </w:r>
    </w:p>
    <w:p w:rsidR="00AE3E37" w:rsidRDefault="00A9710C">
      <w:pPr>
        <w:spacing w:before="62"/>
        <w:ind w:left="1428" w:right="1579"/>
        <w:jc w:val="center"/>
        <w:rPr>
          <w:rFonts w:ascii="Arial"/>
          <w:sz w:val="14"/>
        </w:rPr>
      </w:pPr>
      <w:r>
        <w:rPr>
          <w:rFonts w:ascii="Arial"/>
          <w:sz w:val="14"/>
        </w:rPr>
        <w:t xml:space="preserve">Email: </w:t>
      </w:r>
      <w:hyperlink r:id="rId15">
        <w:r>
          <w:rPr>
            <w:rFonts w:ascii="Arial"/>
            <w:color w:val="004080"/>
            <w:sz w:val="14"/>
          </w:rPr>
          <w:t>drdeanna.rpm@hotmail.com</w:t>
        </w:r>
      </w:hyperlink>
    </w:p>
    <w:p w:rsidR="00AE3E37" w:rsidRDefault="00AE3E37">
      <w:pPr>
        <w:jc w:val="center"/>
        <w:rPr>
          <w:rFonts w:ascii="Arial"/>
          <w:sz w:val="14"/>
        </w:rPr>
        <w:sectPr w:rsidR="00AE3E37">
          <w:type w:val="continuous"/>
          <w:pgSz w:w="11910" w:h="16840"/>
          <w:pgMar w:top="1740" w:right="580" w:bottom="840" w:left="620" w:header="720" w:footer="720" w:gutter="0"/>
          <w:cols w:num="2" w:space="720" w:equalWidth="0">
            <w:col w:w="5214" w:space="252"/>
            <w:col w:w="5244"/>
          </w:cols>
        </w:sectPr>
      </w:pPr>
    </w:p>
    <w:p w:rsidR="00AE3E37" w:rsidRDefault="00A9710C">
      <w:pPr>
        <w:pStyle w:val="BodyText"/>
        <w:tabs>
          <w:tab w:val="left" w:pos="5698"/>
          <w:tab w:val="left" w:pos="10302"/>
        </w:tabs>
        <w:spacing w:line="264" w:lineRule="auto"/>
        <w:ind w:left="100" w:right="384"/>
      </w:pPr>
      <w:proofErr w:type="gramStart"/>
      <w:r>
        <w:lastRenderedPageBreak/>
        <w:t>maintaining</w:t>
      </w:r>
      <w:proofErr w:type="gramEnd"/>
      <w:r>
        <w:t xml:space="preserve"> helping relationships. However, these</w:t>
      </w:r>
      <w:r w:rsidR="000E2911">
        <w:t xml:space="preserve"> </w:t>
      </w:r>
      <w:r>
        <w:t>women’s</w:t>
      </w:r>
      <w:r w:rsidR="000E2911">
        <w:t xml:space="preserve"> </w:t>
      </w:r>
      <w:r>
        <w:t>perspective</w:t>
      </w:r>
      <w:r>
        <w:tab/>
      </w:r>
      <w:r>
        <w:rPr>
          <w:u w:val="single" w:color="004080"/>
        </w:rPr>
        <w:tab/>
      </w:r>
      <w:r>
        <w:t xml:space="preserve"> has not been previously studied. The purpose of this study is to</w:t>
      </w:r>
      <w:r w:rsidR="000E2911">
        <w:t xml:space="preserve"> </w:t>
      </w:r>
      <w:r>
        <w:t>describe</w:t>
      </w:r>
    </w:p>
    <w:p w:rsidR="00AE3E37" w:rsidRDefault="00A9710C">
      <w:pPr>
        <w:pStyle w:val="BodyText"/>
        <w:spacing w:line="163" w:lineRule="exact"/>
        <w:ind w:left="100"/>
      </w:pPr>
      <w:proofErr w:type="gramStart"/>
      <w:r>
        <w:t>the</w:t>
      </w:r>
      <w:proofErr w:type="gramEnd"/>
      <w:r>
        <w:t xml:space="preserve"> experience of seeking help for alcohol dependency by women with</w:t>
      </w:r>
    </w:p>
    <w:p w:rsidR="00AE3E37" w:rsidRDefault="00AE3E37">
      <w:pPr>
        <w:spacing w:line="163" w:lineRule="exact"/>
        <w:sectPr w:rsidR="00AE3E37">
          <w:type w:val="continuous"/>
          <w:pgSz w:w="11910" w:h="16840"/>
          <w:pgMar w:top="1740" w:right="580" w:bottom="840" w:left="620" w:header="720" w:footer="720" w:gutter="0"/>
          <w:cols w:space="720"/>
        </w:sectPr>
      </w:pPr>
    </w:p>
    <w:p w:rsidR="00AE3E37" w:rsidRDefault="00A9710C">
      <w:pPr>
        <w:pStyle w:val="BodyText"/>
        <w:spacing w:before="53" w:line="264" w:lineRule="auto"/>
        <w:ind w:left="100"/>
        <w:jc w:val="both"/>
      </w:pPr>
      <w:proofErr w:type="gramStart"/>
      <w:r>
        <w:lastRenderedPageBreak/>
        <w:t>PTSD and a history of IPV in the context in which it occurs.</w:t>
      </w:r>
      <w:proofErr w:type="gramEnd"/>
      <w:r>
        <w:t xml:space="preserve"> Methodology &amp; Theoretical Orientation: </w:t>
      </w:r>
      <w:proofErr w:type="gramStart"/>
      <w:r>
        <w:t>An inter</w:t>
      </w:r>
      <w:proofErr w:type="gramEnd"/>
      <w:r w:rsidR="000E2911">
        <w:t xml:space="preserve"> </w:t>
      </w:r>
      <w:r>
        <w:t>subjective ethnographic study using hermeneutic dialogue was utilized during participant observation, in- depth interviews and focus groups. An ecological framework was utilizedtofocusontheinteractionbetweenthecounselorsandthestaffto understand this relationships and the context in which it occurs. Findings: The</w:t>
      </w:r>
      <w:r w:rsidR="000E2911">
        <w:t xml:space="preserve"> </w:t>
      </w:r>
      <w:r>
        <w:t>women</w:t>
      </w:r>
      <w:r w:rsidR="000E2911">
        <w:t xml:space="preserve"> </w:t>
      </w:r>
      <w:r>
        <w:t>in</w:t>
      </w:r>
      <w:r w:rsidR="000E2911">
        <w:t xml:space="preserve"> </w:t>
      </w:r>
      <w:r>
        <w:t>this</w:t>
      </w:r>
      <w:r w:rsidR="000E2911">
        <w:t xml:space="preserve"> </w:t>
      </w:r>
      <w:r>
        <w:t>study</w:t>
      </w:r>
      <w:r w:rsidR="000E2911">
        <w:t xml:space="preserve"> </w:t>
      </w:r>
      <w:r>
        <w:t>were</w:t>
      </w:r>
      <w:r w:rsidR="000E2911">
        <w:t xml:space="preserve"> </w:t>
      </w:r>
      <w:r>
        <w:t>very</w:t>
      </w:r>
      <w:r w:rsidR="000E2911">
        <w:t xml:space="preserve"> </w:t>
      </w:r>
      <w:r>
        <w:t>active</w:t>
      </w:r>
      <w:r w:rsidR="000E2911">
        <w:t xml:space="preserve"> </w:t>
      </w:r>
      <w:r>
        <w:t>help</w:t>
      </w:r>
      <w:r w:rsidR="000E2911">
        <w:t xml:space="preserve"> </w:t>
      </w:r>
      <w:r>
        <w:t>seekers.</w:t>
      </w:r>
      <w:r w:rsidR="000E2911">
        <w:t xml:space="preserve"> </w:t>
      </w:r>
      <w:r>
        <w:t>They</w:t>
      </w:r>
      <w:r w:rsidR="000E2911">
        <w:t xml:space="preserve"> </w:t>
      </w:r>
      <w:r>
        <w:t>encountered many gaps in continuity of care including discharge because of</w:t>
      </w:r>
      <w:r w:rsidR="000E2911">
        <w:t xml:space="preserve"> </w:t>
      </w:r>
      <w:r>
        <w:t>relapse. Although the treatment center was a warm, healing and spiritual place, the women left the center without treatment for their trauma needs   and many without any referral to address these outstanding issues. Conclusion &amp; Significance: Women with alcohol dependence and PTSD with a history of IPV want help however the health and social services do</w:t>
      </w:r>
      <w:r w:rsidR="000E2911">
        <w:t xml:space="preserve"> </w:t>
      </w:r>
      <w:r>
        <w:t>not</w:t>
      </w:r>
      <w:r w:rsidR="000E2911">
        <w:t xml:space="preserve"> </w:t>
      </w:r>
      <w:r>
        <w:t>always</w:t>
      </w:r>
      <w:r w:rsidR="000E2911">
        <w:t xml:space="preserve"> </w:t>
      </w:r>
      <w:r>
        <w:t>recognize</w:t>
      </w:r>
      <w:r w:rsidR="000E2911">
        <w:t xml:space="preserve"> </w:t>
      </w:r>
      <w:r>
        <w:t>their</w:t>
      </w:r>
      <w:r w:rsidR="000E2911">
        <w:t xml:space="preserve"> </w:t>
      </w:r>
      <w:r>
        <w:t>calls</w:t>
      </w:r>
      <w:r w:rsidR="000E2911">
        <w:t xml:space="preserve"> </w:t>
      </w:r>
      <w:r>
        <w:t>for</w:t>
      </w:r>
      <w:r w:rsidR="000E2911">
        <w:t xml:space="preserve"> </w:t>
      </w:r>
      <w:r>
        <w:t>help</w:t>
      </w:r>
      <w:r w:rsidR="000E2911">
        <w:t xml:space="preserve"> </w:t>
      </w:r>
      <w:r>
        <w:t>or</w:t>
      </w:r>
      <w:r w:rsidR="000E2911">
        <w:t xml:space="preserve"> </w:t>
      </w:r>
      <w:r>
        <w:t>their</w:t>
      </w:r>
      <w:r w:rsidR="000E2911">
        <w:t xml:space="preserve"> </w:t>
      </w:r>
      <w:r>
        <w:t>symptoms</w:t>
      </w:r>
      <w:r w:rsidR="000E2911">
        <w:t xml:space="preserve"> </w:t>
      </w:r>
      <w:r>
        <w:t>of</w:t>
      </w:r>
      <w:r w:rsidR="000E2911">
        <w:t xml:space="preserve"> </w:t>
      </w:r>
      <w:r>
        <w:t>distress. Recommendations are made for treatment centers to become trauma- informed that would help this</w:t>
      </w:r>
      <w:r w:rsidR="000E2911">
        <w:t xml:space="preserve"> </w:t>
      </w:r>
      <w:r>
        <w:t>recognition.</w:t>
      </w:r>
    </w:p>
    <w:p w:rsidR="00AE3E37" w:rsidRDefault="00AE3E37">
      <w:pPr>
        <w:pStyle w:val="BodyText"/>
        <w:spacing w:before="5"/>
        <w:rPr>
          <w:sz w:val="17"/>
        </w:rPr>
      </w:pPr>
    </w:p>
    <w:p w:rsidR="00AE3E37" w:rsidRDefault="00A9710C">
      <w:pPr>
        <w:pStyle w:val="Heading3"/>
        <w:jc w:val="both"/>
      </w:pPr>
      <w:r>
        <w:rPr>
          <w:color w:val="BF5A14"/>
        </w:rPr>
        <w:t>Image</w:t>
      </w:r>
    </w:p>
    <w:p w:rsidR="00AE3E37" w:rsidRDefault="00A9710C">
      <w:pPr>
        <w:pStyle w:val="BodyText"/>
        <w:spacing w:before="1"/>
        <w:rPr>
          <w:rFonts w:ascii="Arial"/>
          <w:b/>
          <w:sz w:val="9"/>
        </w:rPr>
      </w:pPr>
      <w:r>
        <w:rPr>
          <w:noProof/>
        </w:rPr>
        <w:drawing>
          <wp:anchor distT="0" distB="0" distL="0" distR="0" simplePos="0" relativeHeight="1120" behindDoc="0" locked="0" layoutInCell="1" allowOverlap="1">
            <wp:simplePos x="0" y="0"/>
            <wp:positionH relativeFrom="page">
              <wp:posOffset>457200</wp:posOffset>
            </wp:positionH>
            <wp:positionV relativeFrom="paragraph">
              <wp:posOffset>91179</wp:posOffset>
            </wp:positionV>
            <wp:extent cx="3235637" cy="1609725"/>
            <wp:effectExtent l="0" t="0" r="0" b="0"/>
            <wp:wrapTopAndBottom/>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6" cstate="print"/>
                    <a:stretch>
                      <a:fillRect/>
                    </a:stretch>
                  </pic:blipFill>
                  <pic:spPr>
                    <a:xfrm>
                      <a:off x="0" y="0"/>
                      <a:ext cx="3235637" cy="1609725"/>
                    </a:xfrm>
                    <a:prstGeom prst="rect">
                      <a:avLst/>
                    </a:prstGeom>
                  </pic:spPr>
                </pic:pic>
              </a:graphicData>
            </a:graphic>
          </wp:anchor>
        </w:drawing>
      </w:r>
    </w:p>
    <w:p w:rsidR="00AE3E37" w:rsidRDefault="00AE3E37">
      <w:pPr>
        <w:pStyle w:val="BodyText"/>
        <w:rPr>
          <w:rFonts w:ascii="Arial"/>
          <w:b/>
          <w:sz w:val="20"/>
        </w:rPr>
      </w:pPr>
    </w:p>
    <w:p w:rsidR="00AE3E37" w:rsidRDefault="00AE3E37">
      <w:pPr>
        <w:pStyle w:val="BodyText"/>
        <w:spacing w:before="8"/>
        <w:rPr>
          <w:rFonts w:ascii="Arial"/>
          <w:b/>
          <w:sz w:val="26"/>
        </w:rPr>
      </w:pPr>
    </w:p>
    <w:p w:rsidR="00AE3E37" w:rsidRPr="00B21A57" w:rsidRDefault="00A9710C">
      <w:pPr>
        <w:ind w:left="100"/>
        <w:jc w:val="both"/>
        <w:rPr>
          <w:rFonts w:ascii="Minion Pro"/>
          <w:b/>
          <w:sz w:val="20"/>
        </w:rPr>
      </w:pPr>
      <w:r w:rsidRPr="00B21A57">
        <w:rPr>
          <w:rFonts w:ascii="Minion Pro"/>
          <w:b/>
          <w:sz w:val="20"/>
        </w:rPr>
        <w:t>Notes/Comments:</w:t>
      </w:r>
    </w:p>
    <w:p w:rsidR="00AE3E37" w:rsidRDefault="00A9710C" w:rsidP="00C33602">
      <w:pPr>
        <w:spacing w:line="204" w:lineRule="exact"/>
        <w:rPr>
          <w:rFonts w:ascii="Arial"/>
          <w:b/>
          <w:sz w:val="20"/>
        </w:rPr>
      </w:pPr>
      <w:r>
        <w:br w:type="column"/>
      </w:r>
      <w:r w:rsidR="00414F7B">
        <w:rPr>
          <w:rFonts w:ascii="Arial"/>
          <w:b/>
          <w:color w:val="BF5A14"/>
          <w:sz w:val="20"/>
        </w:rPr>
        <w:lastRenderedPageBreak/>
        <w:t xml:space="preserve">Recent </w:t>
      </w:r>
      <w:r w:rsidR="00C33602">
        <w:rPr>
          <w:rFonts w:ascii="Arial"/>
          <w:b/>
          <w:color w:val="BF5A14"/>
          <w:sz w:val="20"/>
        </w:rPr>
        <w:t>P</w:t>
      </w:r>
      <w:r w:rsidR="00414F7B">
        <w:rPr>
          <w:rFonts w:ascii="Arial"/>
          <w:b/>
          <w:color w:val="BF5A14"/>
          <w:sz w:val="20"/>
        </w:rPr>
        <w:t>ubli</w:t>
      </w:r>
      <w:r w:rsidR="00C33602">
        <w:rPr>
          <w:rFonts w:ascii="Arial"/>
          <w:b/>
          <w:color w:val="BF5A14"/>
          <w:sz w:val="20"/>
        </w:rPr>
        <w:t>cations (minimum 5)</w:t>
      </w:r>
    </w:p>
    <w:p w:rsidR="00AE3E37" w:rsidRDefault="00A9710C">
      <w:pPr>
        <w:pStyle w:val="ListParagraph"/>
        <w:numPr>
          <w:ilvl w:val="0"/>
          <w:numId w:val="1"/>
        </w:numPr>
        <w:tabs>
          <w:tab w:val="left" w:pos="384"/>
        </w:tabs>
        <w:spacing w:before="103" w:line="216" w:lineRule="exact"/>
        <w:ind w:right="138" w:hanging="283"/>
        <w:jc w:val="both"/>
        <w:rPr>
          <w:sz w:val="18"/>
        </w:rPr>
      </w:pPr>
      <w:r>
        <w:rPr>
          <w:sz w:val="18"/>
        </w:rPr>
        <w:t xml:space="preserve">Harper C (2009) </w:t>
      </w:r>
      <w:hyperlink r:id="rId17">
        <w:proofErr w:type="gramStart"/>
        <w:r>
          <w:rPr>
            <w:sz w:val="18"/>
          </w:rPr>
          <w:t>The</w:t>
        </w:r>
        <w:proofErr w:type="gramEnd"/>
        <w:r>
          <w:rPr>
            <w:sz w:val="18"/>
          </w:rPr>
          <w:t xml:space="preserve"> neuropathology of alcohol-related </w:t>
        </w:r>
        <w:proofErr w:type="spellStart"/>
        <w:r>
          <w:rPr>
            <w:sz w:val="18"/>
          </w:rPr>
          <w:t>brain</w:t>
        </w:r>
      </w:hyperlink>
      <w:hyperlink r:id="rId18">
        <w:r>
          <w:rPr>
            <w:sz w:val="18"/>
          </w:rPr>
          <w:t>damage</w:t>
        </w:r>
        <w:proofErr w:type="spellEnd"/>
        <w:r>
          <w:rPr>
            <w:sz w:val="18"/>
          </w:rPr>
          <w:t>.</w:t>
        </w:r>
        <w:r w:rsidR="000E2911">
          <w:rPr>
            <w:sz w:val="18"/>
          </w:rPr>
          <w:t xml:space="preserve"> </w:t>
        </w:r>
        <w:r>
          <w:rPr>
            <w:sz w:val="18"/>
          </w:rPr>
          <w:t xml:space="preserve">Alcohol </w:t>
        </w:r>
        <w:proofErr w:type="spellStart"/>
        <w:r>
          <w:rPr>
            <w:sz w:val="18"/>
          </w:rPr>
          <w:t>Alcohol</w:t>
        </w:r>
        <w:proofErr w:type="spellEnd"/>
        <w:r>
          <w:rPr>
            <w:sz w:val="18"/>
          </w:rPr>
          <w:t xml:space="preserve"> 44:136-140.</w:t>
        </w:r>
      </w:hyperlink>
    </w:p>
    <w:p w:rsidR="00AE3E37" w:rsidRDefault="00A9710C">
      <w:pPr>
        <w:pStyle w:val="ListParagraph"/>
        <w:numPr>
          <w:ilvl w:val="0"/>
          <w:numId w:val="1"/>
        </w:numPr>
        <w:tabs>
          <w:tab w:val="left" w:pos="384"/>
        </w:tabs>
        <w:spacing w:line="216" w:lineRule="exact"/>
        <w:ind w:right="137" w:hanging="283"/>
        <w:jc w:val="both"/>
        <w:rPr>
          <w:sz w:val="18"/>
        </w:rPr>
      </w:pPr>
      <w:proofErr w:type="spellStart"/>
      <w:r>
        <w:rPr>
          <w:sz w:val="18"/>
        </w:rPr>
        <w:t>Heilig</w:t>
      </w:r>
      <w:proofErr w:type="spellEnd"/>
      <w:r>
        <w:rPr>
          <w:sz w:val="18"/>
        </w:rPr>
        <w:t xml:space="preserve"> M, </w:t>
      </w:r>
      <w:proofErr w:type="spellStart"/>
      <w:r>
        <w:rPr>
          <w:sz w:val="18"/>
        </w:rPr>
        <w:t>Egli</w:t>
      </w:r>
      <w:proofErr w:type="spellEnd"/>
      <w:r>
        <w:rPr>
          <w:sz w:val="18"/>
        </w:rPr>
        <w:t xml:space="preserve"> M (2006) Pharmacological treatment of alcohol dependence: </w:t>
      </w:r>
      <w:r>
        <w:rPr>
          <w:spacing w:val="-4"/>
          <w:sz w:val="18"/>
        </w:rPr>
        <w:t xml:space="preserve">Target </w:t>
      </w:r>
      <w:r>
        <w:rPr>
          <w:sz w:val="18"/>
        </w:rPr>
        <w:t>symptoms and target mechanisms. Pharmacology and therapeutics 111:855-876.</w:t>
      </w:r>
    </w:p>
    <w:p w:rsidR="00AE3E37" w:rsidRDefault="00A9710C">
      <w:pPr>
        <w:pStyle w:val="ListParagraph"/>
        <w:numPr>
          <w:ilvl w:val="0"/>
          <w:numId w:val="1"/>
        </w:numPr>
        <w:tabs>
          <w:tab w:val="left" w:pos="384"/>
        </w:tabs>
        <w:spacing w:line="216" w:lineRule="exact"/>
        <w:ind w:right="138" w:hanging="283"/>
        <w:jc w:val="both"/>
        <w:rPr>
          <w:sz w:val="18"/>
        </w:rPr>
      </w:pPr>
      <w:proofErr w:type="spellStart"/>
      <w:r>
        <w:rPr>
          <w:sz w:val="18"/>
        </w:rPr>
        <w:t>LiX</w:t>
      </w:r>
      <w:proofErr w:type="spellEnd"/>
      <w:r>
        <w:rPr>
          <w:sz w:val="18"/>
        </w:rPr>
        <w:t>,</w:t>
      </w:r>
      <w:r w:rsidR="000E2911">
        <w:rPr>
          <w:sz w:val="18"/>
        </w:rPr>
        <w:t xml:space="preserve"> </w:t>
      </w:r>
      <w:proofErr w:type="spellStart"/>
      <w:r>
        <w:rPr>
          <w:sz w:val="18"/>
        </w:rPr>
        <w:t>SchwachaMG</w:t>
      </w:r>
      <w:proofErr w:type="spellEnd"/>
      <w:r>
        <w:rPr>
          <w:sz w:val="18"/>
        </w:rPr>
        <w:t>,</w:t>
      </w:r>
      <w:r w:rsidR="000E2911">
        <w:rPr>
          <w:sz w:val="18"/>
        </w:rPr>
        <w:t xml:space="preserve"> </w:t>
      </w:r>
      <w:proofErr w:type="spellStart"/>
      <w:r>
        <w:rPr>
          <w:sz w:val="18"/>
        </w:rPr>
        <w:t>ChaudryIH</w:t>
      </w:r>
      <w:proofErr w:type="spellEnd"/>
      <w:r>
        <w:rPr>
          <w:sz w:val="18"/>
        </w:rPr>
        <w:t>,</w:t>
      </w:r>
      <w:r w:rsidR="000E2911">
        <w:rPr>
          <w:sz w:val="18"/>
        </w:rPr>
        <w:t xml:space="preserve"> </w:t>
      </w:r>
      <w:proofErr w:type="spellStart"/>
      <w:r>
        <w:rPr>
          <w:sz w:val="18"/>
        </w:rPr>
        <w:t>ChoudhryMA</w:t>
      </w:r>
      <w:proofErr w:type="spellEnd"/>
      <w:r w:rsidR="00C33602">
        <w:rPr>
          <w:sz w:val="18"/>
        </w:rPr>
        <w:t xml:space="preserve"> </w:t>
      </w:r>
      <w:r>
        <w:rPr>
          <w:sz w:val="18"/>
        </w:rPr>
        <w:t>(2008</w:t>
      </w:r>
      <w:proofErr w:type="gramStart"/>
      <w:r>
        <w:rPr>
          <w:sz w:val="18"/>
        </w:rPr>
        <w:t>)</w:t>
      </w:r>
      <w:proofErr w:type="spellStart"/>
      <w:r>
        <w:rPr>
          <w:sz w:val="18"/>
        </w:rPr>
        <w:t>Acutealcohol</w:t>
      </w:r>
      <w:proofErr w:type="spellEnd"/>
      <w:proofErr w:type="gramEnd"/>
      <w:r>
        <w:rPr>
          <w:sz w:val="18"/>
        </w:rPr>
        <w:t xml:space="preserve"> intoxication potentiates neutrophil-mediated intestinal tissue damage after burn injury. Shock 29:377.</w:t>
      </w:r>
    </w:p>
    <w:p w:rsidR="00AE3E37" w:rsidRDefault="00A9710C">
      <w:pPr>
        <w:pStyle w:val="ListParagraph"/>
        <w:numPr>
          <w:ilvl w:val="0"/>
          <w:numId w:val="1"/>
        </w:numPr>
        <w:tabs>
          <w:tab w:val="left" w:pos="384"/>
        </w:tabs>
        <w:spacing w:before="92" w:line="218" w:lineRule="exact"/>
        <w:ind w:hanging="283"/>
        <w:rPr>
          <w:sz w:val="18"/>
        </w:rPr>
      </w:pPr>
      <w:r>
        <w:rPr>
          <w:sz w:val="18"/>
        </w:rPr>
        <w:t xml:space="preserve">Room R, </w:t>
      </w:r>
      <w:proofErr w:type="spellStart"/>
      <w:r>
        <w:rPr>
          <w:sz w:val="18"/>
        </w:rPr>
        <w:t>Babor</w:t>
      </w:r>
      <w:r>
        <w:rPr>
          <w:spacing w:val="-10"/>
          <w:sz w:val="18"/>
        </w:rPr>
        <w:t>T</w:t>
      </w:r>
      <w:proofErr w:type="spellEnd"/>
      <w:r>
        <w:rPr>
          <w:spacing w:val="-10"/>
          <w:sz w:val="18"/>
        </w:rPr>
        <w:t xml:space="preserve">, </w:t>
      </w:r>
      <w:proofErr w:type="spellStart"/>
      <w:r>
        <w:rPr>
          <w:sz w:val="18"/>
        </w:rPr>
        <w:t>Rehm</w:t>
      </w:r>
      <w:proofErr w:type="spellEnd"/>
      <w:r>
        <w:rPr>
          <w:sz w:val="18"/>
        </w:rPr>
        <w:t xml:space="preserve"> J (2005) </w:t>
      </w:r>
      <w:hyperlink r:id="rId19">
        <w:r>
          <w:rPr>
            <w:sz w:val="18"/>
          </w:rPr>
          <w:t>Alcohol and public health.</w:t>
        </w:r>
        <w:r w:rsidR="000E2911">
          <w:rPr>
            <w:sz w:val="18"/>
          </w:rPr>
          <w:t xml:space="preserve"> </w:t>
        </w:r>
        <w:r>
          <w:rPr>
            <w:sz w:val="18"/>
          </w:rPr>
          <w:t>Lancet</w:t>
        </w:r>
      </w:hyperlink>
    </w:p>
    <w:p w:rsidR="00AE3E37" w:rsidRDefault="00A7340E">
      <w:pPr>
        <w:pStyle w:val="BodyText"/>
        <w:spacing w:line="218" w:lineRule="exact"/>
        <w:ind w:left="383"/>
        <w:rPr>
          <w:rFonts w:ascii="Calibri"/>
        </w:rPr>
      </w:pPr>
      <w:hyperlink r:id="rId20">
        <w:r w:rsidR="00A9710C">
          <w:rPr>
            <w:rFonts w:ascii="Calibri"/>
          </w:rPr>
          <w:t>365: 519-530.</w:t>
        </w:r>
      </w:hyperlink>
    </w:p>
    <w:p w:rsidR="00AE3E37" w:rsidRDefault="00A9710C">
      <w:pPr>
        <w:pStyle w:val="BodyText"/>
        <w:spacing w:before="85" w:line="216" w:lineRule="exact"/>
        <w:ind w:left="383" w:right="138" w:hanging="284"/>
        <w:jc w:val="both"/>
        <w:rPr>
          <w:rFonts w:ascii="Calibri" w:hAnsi="Calibri"/>
        </w:rPr>
      </w:pPr>
      <w:r>
        <w:rPr>
          <w:rFonts w:ascii="Calibri" w:hAnsi="Calibri"/>
        </w:rPr>
        <w:t xml:space="preserve">5. Sullivan </w:t>
      </w:r>
      <w:r>
        <w:rPr>
          <w:rFonts w:ascii="Calibri" w:hAnsi="Calibri"/>
          <w:spacing w:val="-5"/>
        </w:rPr>
        <w:t xml:space="preserve">EV, </w:t>
      </w:r>
      <w:proofErr w:type="spellStart"/>
      <w:r>
        <w:rPr>
          <w:rFonts w:ascii="Calibri" w:hAnsi="Calibri"/>
        </w:rPr>
        <w:t>Zahr</w:t>
      </w:r>
      <w:proofErr w:type="spellEnd"/>
      <w:r>
        <w:rPr>
          <w:rFonts w:ascii="Calibri" w:hAnsi="Calibri"/>
        </w:rPr>
        <w:t xml:space="preserve"> NM (2008) </w:t>
      </w:r>
      <w:proofErr w:type="spellStart"/>
      <w:r>
        <w:rPr>
          <w:rFonts w:ascii="Calibri" w:hAnsi="Calibri"/>
        </w:rPr>
        <w:t>Neuroinflamma</w:t>
      </w:r>
      <w:r w:rsidR="000E2911">
        <w:rPr>
          <w:rFonts w:ascii="Calibri" w:hAnsi="Calibri"/>
        </w:rPr>
        <w:t>tion</w:t>
      </w:r>
      <w:proofErr w:type="spellEnd"/>
      <w:r w:rsidR="000E2911">
        <w:rPr>
          <w:rFonts w:ascii="Calibri" w:hAnsi="Calibri"/>
        </w:rPr>
        <w:t xml:space="preserve"> as a neurotoxic mechanism </w:t>
      </w:r>
      <w:proofErr w:type="gramStart"/>
      <w:r>
        <w:rPr>
          <w:rFonts w:ascii="Calibri" w:hAnsi="Calibri"/>
        </w:rPr>
        <w:t>in  alcoholism</w:t>
      </w:r>
      <w:proofErr w:type="gramEnd"/>
      <w:r>
        <w:rPr>
          <w:rFonts w:ascii="Calibri" w:hAnsi="Calibri"/>
        </w:rPr>
        <w:t xml:space="preserve">:  Commentary  on  “Increased  MCP-    1 and microglia in various regions of human alcoholic </w:t>
      </w:r>
      <w:r>
        <w:rPr>
          <w:rFonts w:ascii="Calibri" w:hAnsi="Calibri"/>
          <w:spacing w:val="-4"/>
        </w:rPr>
        <w:t xml:space="preserve">brain”. </w:t>
      </w:r>
      <w:r>
        <w:rPr>
          <w:rFonts w:ascii="Calibri" w:hAnsi="Calibri"/>
        </w:rPr>
        <w:t>Experimental neurology 213:10-17.</w:t>
      </w:r>
    </w:p>
    <w:sectPr w:rsidR="00AE3E37" w:rsidSect="00CD6F55">
      <w:type w:val="continuous"/>
      <w:pgSz w:w="11910" w:h="16840"/>
      <w:pgMar w:top="1740" w:right="580" w:bottom="840" w:left="620" w:header="720" w:footer="720" w:gutter="0"/>
      <w:cols w:num="2" w:space="720" w:equalWidth="0">
        <w:col w:w="5214" w:space="138"/>
        <w:col w:w="535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40E" w:rsidRDefault="00A7340E">
      <w:r>
        <w:separator/>
      </w:r>
    </w:p>
  </w:endnote>
  <w:endnote w:type="continuationSeparator" w:id="0">
    <w:p w:rsidR="00A7340E" w:rsidRDefault="00A73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w Cen MT">
    <w:panose1 w:val="020B0602020104020603"/>
    <w:charset w:val="00"/>
    <w:family w:val="swiss"/>
    <w:pitch w:val="variable"/>
    <w:sig w:usb0="00000007" w:usb1="00000000" w:usb2="00000000" w:usb3="00000000" w:csb0="00000003" w:csb1="00000000"/>
  </w:font>
  <w:font w:name="Minion Pro">
    <w:altName w:val="Cambria Math"/>
    <w:panose1 w:val="00000000000000000000"/>
    <w:charset w:val="00"/>
    <w:family w:val="roman"/>
    <w:notTrueType/>
    <w:pitch w:val="variable"/>
    <w:sig w:usb0="00000001"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Impact">
    <w:panose1 w:val="020B080603090205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E37" w:rsidRDefault="002A741B">
    <w:pPr>
      <w:pStyle w:val="BodyText"/>
      <w:spacing w:line="14" w:lineRule="auto"/>
      <w:rPr>
        <w:sz w:val="20"/>
      </w:rPr>
    </w:pPr>
    <w:r>
      <w:rPr>
        <w:noProof/>
      </w:rPr>
      <mc:AlternateContent>
        <mc:Choice Requires="wps">
          <w:drawing>
            <wp:anchor distT="0" distB="0" distL="114300" distR="114300" simplePos="0" relativeHeight="503311928" behindDoc="1" locked="0" layoutInCell="1" allowOverlap="1" wp14:anchorId="48B2BF1B" wp14:editId="0C5A4E92">
              <wp:simplePos x="0" y="0"/>
              <wp:positionH relativeFrom="page">
                <wp:posOffset>444500</wp:posOffset>
              </wp:positionH>
              <wp:positionV relativeFrom="page">
                <wp:posOffset>10144760</wp:posOffset>
              </wp:positionV>
              <wp:extent cx="2136140" cy="248920"/>
              <wp:effectExtent l="0" t="0" r="16510" b="1778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614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3E37" w:rsidRPr="005B3A56" w:rsidRDefault="00A9710C">
                          <w:pPr>
                            <w:spacing w:line="184" w:lineRule="exact"/>
                            <w:ind w:left="20" w:right="-12"/>
                            <w:rPr>
                              <w:rFonts w:ascii="Arial"/>
                              <w:color w:val="FFFFFF" w:themeColor="background1"/>
                              <w:sz w:val="16"/>
                            </w:rPr>
                          </w:pPr>
                          <w:r w:rsidRPr="005B3A56">
                            <w:rPr>
                              <w:rFonts w:ascii="Arial"/>
                              <w:color w:val="FFFFFF" w:themeColor="background1"/>
                              <w:sz w:val="16"/>
                            </w:rPr>
                            <w:t>J Pain Relief</w:t>
                          </w:r>
                        </w:p>
                        <w:p w:rsidR="00AE3E37" w:rsidRPr="005B3A56" w:rsidRDefault="00A9710C">
                          <w:pPr>
                            <w:spacing w:before="8"/>
                            <w:ind w:left="20" w:right="-12"/>
                            <w:rPr>
                              <w:rFonts w:ascii="Arial"/>
                              <w:color w:val="FFFFFF" w:themeColor="background1"/>
                              <w:sz w:val="16"/>
                            </w:rPr>
                          </w:pPr>
                          <w:r w:rsidRPr="005B3A56">
                            <w:rPr>
                              <w:rFonts w:ascii="Arial"/>
                              <w:color w:val="FFFFFF" w:themeColor="background1"/>
                              <w:sz w:val="16"/>
                            </w:rPr>
                            <w:t xml:space="preserve">ISSN: 2167-0846 JPAR an open access </w:t>
                          </w:r>
                          <w:proofErr w:type="spellStart"/>
                          <w:r w:rsidRPr="005B3A56">
                            <w:rPr>
                              <w:rFonts w:ascii="Arial"/>
                              <w:color w:val="FFFFFF" w:themeColor="background1"/>
                              <w:sz w:val="16"/>
                            </w:rPr>
                            <w:t>journa</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5pt;margin-top:798.8pt;width:168.2pt;height:19.6pt;z-index:-4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CUcsgIAALA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" filled="f" stroked="f">
              <v:textbox inset="0,0,0,0">
                <w:txbxContent>
                  <w:p w:rsidR="00AE3E37" w:rsidRPr="005B3A56" w:rsidRDefault="00A9710C">
                    <w:pPr>
                      <w:spacing w:line="184" w:lineRule="exact"/>
                      <w:ind w:left="20" w:right="-12"/>
                      <w:rPr>
                        <w:rFonts w:ascii="Arial"/>
                        <w:color w:val="FFFFFF" w:themeColor="background1"/>
                        <w:sz w:val="16"/>
                      </w:rPr>
                    </w:pPr>
                    <w:r w:rsidRPr="005B3A56">
                      <w:rPr>
                        <w:rFonts w:ascii="Arial"/>
                        <w:color w:val="FFFFFF" w:themeColor="background1"/>
                        <w:sz w:val="16"/>
                      </w:rPr>
                      <w:t>J Pain Relief</w:t>
                    </w:r>
                  </w:p>
                  <w:p w:rsidR="00AE3E37" w:rsidRPr="005B3A56" w:rsidRDefault="00A9710C">
                    <w:pPr>
                      <w:spacing w:before="8"/>
                      <w:ind w:left="20" w:right="-12"/>
                      <w:rPr>
                        <w:rFonts w:ascii="Arial"/>
                        <w:color w:val="FFFFFF" w:themeColor="background1"/>
                        <w:sz w:val="16"/>
                      </w:rPr>
                    </w:pPr>
                    <w:r w:rsidRPr="005B3A56">
                      <w:rPr>
                        <w:rFonts w:ascii="Arial"/>
                        <w:color w:val="FFFFFF" w:themeColor="background1"/>
                        <w:sz w:val="16"/>
                      </w:rPr>
                      <w:t>ISSN: 2167-0846 JPAR an open access journa</w:t>
                    </w:r>
                  </w:p>
                </w:txbxContent>
              </v:textbox>
              <w10:wrap anchorx="page" anchory="page"/>
            </v:shape>
          </w:pict>
        </mc:Fallback>
      </mc:AlternateContent>
    </w:r>
    <w:r>
      <w:rPr>
        <w:noProof/>
      </w:rPr>
      <mc:AlternateContent>
        <mc:Choice Requires="wps">
          <w:drawing>
            <wp:anchor distT="0" distB="0" distL="114300" distR="114300" simplePos="0" relativeHeight="503311952" behindDoc="1" locked="0" layoutInCell="1" allowOverlap="1" wp14:anchorId="7F84EFC2" wp14:editId="29EED293">
              <wp:simplePos x="0" y="0"/>
              <wp:positionH relativeFrom="page">
                <wp:posOffset>3201670</wp:posOffset>
              </wp:positionH>
              <wp:positionV relativeFrom="page">
                <wp:posOffset>10147935</wp:posOffset>
              </wp:positionV>
              <wp:extent cx="1167130" cy="316865"/>
              <wp:effectExtent l="0" t="0" r="13970" b="698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13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3E37" w:rsidRPr="005B3A56" w:rsidRDefault="00A9710C">
                          <w:pPr>
                            <w:spacing w:line="269" w:lineRule="exact"/>
                            <w:jc w:val="center"/>
                            <w:rPr>
                              <w:rFonts w:ascii="Impact"/>
                              <w:color w:val="FFFFFF" w:themeColor="background1"/>
                              <w:sz w:val="24"/>
                            </w:rPr>
                          </w:pPr>
                          <w:r w:rsidRPr="005B3A56">
                            <w:rPr>
                              <w:rFonts w:ascii="Impact"/>
                              <w:color w:val="FFFFFF" w:themeColor="background1"/>
                              <w:sz w:val="24"/>
                            </w:rPr>
                            <w:t>Fibromyalgia 2016</w:t>
                          </w:r>
                        </w:p>
                        <w:p w:rsidR="00AE3E37" w:rsidRPr="005B3A56" w:rsidRDefault="00A9710C">
                          <w:pPr>
                            <w:spacing w:before="29"/>
                            <w:jc w:val="center"/>
                            <w:rPr>
                              <w:rFonts w:ascii="Arial"/>
                              <w:color w:val="FFFFFF" w:themeColor="background1"/>
                              <w:sz w:val="16"/>
                            </w:rPr>
                          </w:pPr>
                          <w:r w:rsidRPr="005B3A56">
                            <w:rPr>
                              <w:rFonts w:ascii="Arial"/>
                              <w:color w:val="FFFFFF" w:themeColor="background1"/>
                              <w:sz w:val="16"/>
                            </w:rPr>
                            <w:t>June 15-16,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252.1pt;margin-top:799.05pt;width:91.9pt;height:24.95pt;z-index:-4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DuPsAIAALA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" filled="f" stroked="f">
              <v:textbox inset="0,0,0,0">
                <w:txbxContent>
                  <w:p w:rsidR="00AE3E37" w:rsidRPr="005B3A56" w:rsidRDefault="00A9710C">
                    <w:pPr>
                      <w:spacing w:line="269" w:lineRule="exact"/>
                      <w:jc w:val="center"/>
                      <w:rPr>
                        <w:rFonts w:ascii="Impact"/>
                        <w:color w:val="FFFFFF" w:themeColor="background1"/>
                        <w:sz w:val="24"/>
                      </w:rPr>
                    </w:pPr>
                    <w:r w:rsidRPr="005B3A56">
                      <w:rPr>
                        <w:rFonts w:ascii="Impact"/>
                        <w:color w:val="FFFFFF" w:themeColor="background1"/>
                        <w:sz w:val="24"/>
                      </w:rPr>
                      <w:t>Fibromyalgia 2016</w:t>
                    </w:r>
                  </w:p>
                  <w:p w:rsidR="00AE3E37" w:rsidRPr="005B3A56" w:rsidRDefault="00A9710C">
                    <w:pPr>
                      <w:spacing w:before="29"/>
                      <w:jc w:val="center"/>
                      <w:rPr>
                        <w:rFonts w:ascii="Arial"/>
                        <w:color w:val="FFFFFF" w:themeColor="background1"/>
                        <w:sz w:val="16"/>
                      </w:rPr>
                    </w:pPr>
                    <w:r w:rsidRPr="005B3A56">
                      <w:rPr>
                        <w:rFonts w:ascii="Arial"/>
                        <w:color w:val="FFFFFF" w:themeColor="background1"/>
                        <w:sz w:val="16"/>
                      </w:rPr>
                      <w:t>June 15-16, 2016</w:t>
                    </w:r>
                  </w:p>
                </w:txbxContent>
              </v:textbox>
              <w10:wrap anchorx="page" anchory="page"/>
            </v:shape>
          </w:pict>
        </mc:Fallback>
      </mc:AlternateContent>
    </w:r>
    <w:r>
      <w:rPr>
        <w:noProof/>
      </w:rPr>
      <mc:AlternateContent>
        <mc:Choice Requires="wps">
          <w:drawing>
            <wp:anchor distT="0" distB="0" distL="114300" distR="114300" simplePos="0" relativeHeight="503311976" behindDoc="1" locked="0" layoutInCell="1" allowOverlap="1" wp14:anchorId="4A1116DC" wp14:editId="0CA6DE60">
              <wp:simplePos x="0" y="0"/>
              <wp:positionH relativeFrom="page">
                <wp:posOffset>5955030</wp:posOffset>
              </wp:positionH>
              <wp:positionV relativeFrom="page">
                <wp:posOffset>10144760</wp:posOffset>
              </wp:positionV>
              <wp:extent cx="1160780" cy="330835"/>
              <wp:effectExtent l="0" t="0" r="1270" b="1206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078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3E37" w:rsidRPr="005B3A56" w:rsidRDefault="00A9710C">
                          <w:pPr>
                            <w:spacing w:line="184" w:lineRule="exact"/>
                            <w:ind w:right="18"/>
                            <w:jc w:val="right"/>
                            <w:rPr>
                              <w:rFonts w:ascii="Arial"/>
                              <w:color w:val="FFFFFF" w:themeColor="background1"/>
                              <w:sz w:val="16"/>
                            </w:rPr>
                          </w:pPr>
                          <w:r w:rsidRPr="005B3A56">
                            <w:rPr>
                              <w:rFonts w:ascii="Arial"/>
                              <w:color w:val="FFFFFF" w:themeColor="background1"/>
                              <w:sz w:val="16"/>
                            </w:rPr>
                            <w:t>Volume 5, Issue 3(</w:t>
                          </w:r>
                          <w:proofErr w:type="spellStart"/>
                          <w:r w:rsidRPr="005B3A56">
                            <w:rPr>
                              <w:rFonts w:ascii="Arial"/>
                              <w:color w:val="FFFFFF" w:themeColor="background1"/>
                              <w:sz w:val="16"/>
                            </w:rPr>
                            <w:t>Suppl</w:t>
                          </w:r>
                          <w:proofErr w:type="spellEnd"/>
                          <w:r w:rsidRPr="005B3A56">
                            <w:rPr>
                              <w:rFonts w:ascii="Arial"/>
                              <w:color w:val="FFFFFF" w:themeColor="background1"/>
                              <w:sz w:val="16"/>
                            </w:rPr>
                            <w:t>)</w:t>
                          </w:r>
                        </w:p>
                        <w:p w:rsidR="00AE3E37" w:rsidRPr="005B3A56" w:rsidRDefault="00A9710C">
                          <w:pPr>
                            <w:spacing w:before="116"/>
                            <w:ind w:right="18"/>
                            <w:jc w:val="right"/>
                            <w:rPr>
                              <w:rFonts w:ascii="Minion Pro"/>
                              <w:color w:val="FFFFFF" w:themeColor="background1"/>
                              <w:sz w:val="16"/>
                            </w:rPr>
                          </w:pPr>
                          <w:r w:rsidRPr="005B3A56">
                            <w:rPr>
                              <w:rFonts w:ascii="Minion Pro"/>
                              <w:color w:val="FFFFFF" w:themeColor="background1"/>
                              <w:sz w:val="16"/>
                            </w:rPr>
                            <w:t>Page 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margin-left:468.9pt;margin-top:798.8pt;width:91.4pt;height:26.05pt;z-index:-4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" filled="f" stroked="f">
              <v:textbox inset="0,0,0,0">
                <w:txbxContent>
                  <w:p w:rsidR="00AE3E37" w:rsidRPr="005B3A56" w:rsidRDefault="00A9710C">
                    <w:pPr>
                      <w:spacing w:line="184" w:lineRule="exact"/>
                      <w:ind w:right="18"/>
                      <w:jc w:val="right"/>
                      <w:rPr>
                        <w:rFonts w:ascii="Arial"/>
                        <w:color w:val="FFFFFF" w:themeColor="background1"/>
                        <w:sz w:val="16"/>
                      </w:rPr>
                    </w:pPr>
                    <w:r w:rsidRPr="005B3A56">
                      <w:rPr>
                        <w:rFonts w:ascii="Arial"/>
                        <w:color w:val="FFFFFF" w:themeColor="background1"/>
                        <w:sz w:val="16"/>
                      </w:rPr>
                      <w:t>Volume 5, Issue 3(Suppl)</w:t>
                    </w:r>
                  </w:p>
                  <w:p w:rsidR="00AE3E37" w:rsidRPr="005B3A56" w:rsidRDefault="00A9710C">
                    <w:pPr>
                      <w:spacing w:before="116"/>
                      <w:ind w:right="18"/>
                      <w:jc w:val="right"/>
                      <w:rPr>
                        <w:rFonts w:ascii="Minion Pro"/>
                        <w:color w:val="FFFFFF" w:themeColor="background1"/>
                        <w:sz w:val="16"/>
                      </w:rPr>
                    </w:pPr>
                    <w:r w:rsidRPr="005B3A56">
                      <w:rPr>
                        <w:rFonts w:ascii="Minion Pro"/>
                        <w:color w:val="FFFFFF" w:themeColor="background1"/>
                        <w:sz w:val="16"/>
                      </w:rPr>
                      <w:t>Page 40</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40E" w:rsidRDefault="00A7340E">
      <w:r>
        <w:separator/>
      </w:r>
    </w:p>
  </w:footnote>
  <w:footnote w:type="continuationSeparator" w:id="0">
    <w:p w:rsidR="00A7340E" w:rsidRDefault="00A73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E37" w:rsidRDefault="002A741B">
    <w:pPr>
      <w:pStyle w:val="BodyText"/>
      <w:spacing w:line="14" w:lineRule="auto"/>
      <w:rPr>
        <w:sz w:val="20"/>
      </w:rPr>
    </w:pPr>
    <w:r>
      <w:rPr>
        <w:noProof/>
      </w:rPr>
      <mc:AlternateContent>
        <mc:Choice Requires="wps">
          <w:drawing>
            <wp:anchor distT="0" distB="0" distL="114300" distR="114300" simplePos="0" relativeHeight="503311880" behindDoc="1" locked="0" layoutInCell="1" allowOverlap="1" wp14:anchorId="396221C5" wp14:editId="04B65E6F">
              <wp:simplePos x="0" y="0"/>
              <wp:positionH relativeFrom="page">
                <wp:posOffset>5283200</wp:posOffset>
              </wp:positionH>
              <wp:positionV relativeFrom="page">
                <wp:posOffset>330835</wp:posOffset>
              </wp:positionV>
              <wp:extent cx="1832610" cy="220980"/>
              <wp:effectExtent l="0" t="0" r="15240" b="762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261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3E37" w:rsidRPr="005B3A56" w:rsidRDefault="00A9710C">
                          <w:pPr>
                            <w:spacing w:before="2" w:line="249" w:lineRule="auto"/>
                            <w:ind w:left="156" w:right="18" w:hanging="137"/>
                            <w:rPr>
                              <w:rFonts w:ascii="Arial"/>
                              <w:color w:val="FFFFFF" w:themeColor="background1"/>
                              <w:sz w:val="14"/>
                            </w:rPr>
                          </w:pPr>
                          <w:r w:rsidRPr="005B3A56">
                            <w:rPr>
                              <w:rFonts w:ascii="Arial"/>
                              <w:color w:val="FFFFFF" w:themeColor="background1"/>
                              <w:sz w:val="14"/>
                            </w:rPr>
                            <w:t xml:space="preserve">T </w:t>
                          </w:r>
                          <w:proofErr w:type="spellStart"/>
                          <w:r w:rsidRPr="005B3A56">
                            <w:rPr>
                              <w:rFonts w:ascii="Arial"/>
                              <w:color w:val="FFFFFF" w:themeColor="background1"/>
                              <w:sz w:val="14"/>
                            </w:rPr>
                            <w:t>Furuta</w:t>
                          </w:r>
                          <w:proofErr w:type="spellEnd"/>
                          <w:r w:rsidRPr="005B3A56">
                            <w:rPr>
                              <w:rFonts w:ascii="Arial"/>
                              <w:color w:val="FFFFFF" w:themeColor="background1"/>
                              <w:sz w:val="14"/>
                            </w:rPr>
                            <w:t xml:space="preserve"> et al., J </w:t>
                          </w:r>
                          <w:proofErr w:type="spellStart"/>
                          <w:r w:rsidRPr="005B3A56">
                            <w:rPr>
                              <w:rFonts w:ascii="Arial"/>
                              <w:color w:val="FFFFFF" w:themeColor="background1"/>
                              <w:sz w:val="14"/>
                            </w:rPr>
                            <w:t>Pai</w:t>
                          </w:r>
                          <w:proofErr w:type="spellEnd"/>
                          <w:r w:rsidRPr="005B3A56">
                            <w:rPr>
                              <w:rFonts w:ascii="Arial"/>
                              <w:color w:val="FFFFFF" w:themeColor="background1"/>
                              <w:sz w:val="14"/>
                            </w:rPr>
                            <w:t xml:space="preserve"> n Relief 2016, 5:3(</w:t>
                          </w:r>
                          <w:proofErr w:type="spellStart"/>
                          <w:r w:rsidRPr="005B3A56">
                            <w:rPr>
                              <w:rFonts w:ascii="Arial"/>
                              <w:color w:val="FFFFFF" w:themeColor="background1"/>
                              <w:sz w:val="14"/>
                            </w:rPr>
                            <w:t>Suppl</w:t>
                          </w:r>
                          <w:proofErr w:type="spellEnd"/>
                          <w:r w:rsidRPr="005B3A56">
                            <w:rPr>
                              <w:rFonts w:ascii="Arial"/>
                              <w:color w:val="FFFFFF" w:themeColor="background1"/>
                              <w:sz w:val="14"/>
                            </w:rPr>
                            <w:t xml:space="preserve">) </w:t>
                          </w:r>
                          <w:hyperlink r:id="rId1">
                            <w:r w:rsidRPr="005B3A56">
                              <w:rPr>
                                <w:rFonts w:ascii="Arial"/>
                                <w:color w:val="FFFFFF" w:themeColor="background1"/>
                                <w:sz w:val="14"/>
                              </w:rPr>
                              <w:t>http://dx.doi.org/10.4172/2167-0846.C1.006</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16pt;margin-top:26.05pt;width:144.3pt;height:17.4pt;z-index:-4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9S2rgIAAKk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" filled="f" stroked="f">
              <v:textbox inset="0,0,0,0">
                <w:txbxContent>
                  <w:p w:rsidR="00AE3E37" w:rsidRPr="005B3A56" w:rsidRDefault="00A9710C">
                    <w:pPr>
                      <w:spacing w:before="2" w:line="249" w:lineRule="auto"/>
                      <w:ind w:left="156" w:right="18" w:hanging="137"/>
                      <w:rPr>
                        <w:rFonts w:ascii="Arial"/>
                        <w:color w:val="FFFFFF" w:themeColor="background1"/>
                        <w:sz w:val="14"/>
                      </w:rPr>
                    </w:pPr>
                    <w:r w:rsidRPr="005B3A56">
                      <w:rPr>
                        <w:rFonts w:ascii="Arial"/>
                        <w:color w:val="FFFFFF" w:themeColor="background1"/>
                        <w:sz w:val="14"/>
                      </w:rPr>
                      <w:t xml:space="preserve">T Furuta et al., J Pai n Relief 2016, 5:3(Suppl) </w:t>
                    </w:r>
                    <w:hyperlink r:id="rId2">
                      <w:r w:rsidRPr="005B3A56">
                        <w:rPr>
                          <w:rFonts w:ascii="Arial"/>
                          <w:color w:val="FFFFFF" w:themeColor="background1"/>
                          <w:sz w:val="14"/>
                        </w:rPr>
                        <w:t>http://dx.doi.org/10.4172/2167-0846.C1.006</w:t>
                      </w:r>
                    </w:hyperlink>
                  </w:p>
                </w:txbxContent>
              </v:textbox>
              <w10:wrap anchorx="page" anchory="page"/>
            </v:shape>
          </w:pict>
        </mc:Fallback>
      </mc:AlternateContent>
    </w:r>
    <w:r>
      <w:rPr>
        <w:noProof/>
      </w:rPr>
      <mc:AlternateContent>
        <mc:Choice Requires="wps">
          <w:drawing>
            <wp:anchor distT="0" distB="0" distL="114300" distR="114300" simplePos="0" relativeHeight="503311904" behindDoc="1" locked="0" layoutInCell="1" allowOverlap="1" wp14:anchorId="63516FF6" wp14:editId="46410D94">
              <wp:simplePos x="0" y="0"/>
              <wp:positionH relativeFrom="page">
                <wp:posOffset>444500</wp:posOffset>
              </wp:positionH>
              <wp:positionV relativeFrom="page">
                <wp:posOffset>613410</wp:posOffset>
              </wp:positionV>
              <wp:extent cx="6552565" cy="509270"/>
              <wp:effectExtent l="0" t="0" r="635" b="508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2565" cy="509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3E37" w:rsidRPr="005B3A56" w:rsidRDefault="00A9710C">
                          <w:pPr>
                            <w:pStyle w:val="BodyText"/>
                            <w:spacing w:line="187" w:lineRule="exact"/>
                            <w:ind w:left="20" w:right="-10"/>
                            <w:rPr>
                              <w:rFonts w:ascii="Myriad Pro"/>
                              <w:color w:val="FFFFFF" w:themeColor="background1"/>
                            </w:rPr>
                          </w:pPr>
                          <w:r w:rsidRPr="005B3A56">
                            <w:rPr>
                              <w:rFonts w:ascii="Myriad Pro"/>
                              <w:color w:val="FFFFFF" w:themeColor="background1"/>
                            </w:rPr>
                            <w:t>International Conference on</w:t>
                          </w:r>
                        </w:p>
                        <w:p w:rsidR="00AE3E37" w:rsidRPr="005B3A56" w:rsidRDefault="00A9710C">
                          <w:pPr>
                            <w:spacing w:line="614" w:lineRule="exact"/>
                            <w:ind w:left="20" w:right="-10"/>
                            <w:rPr>
                              <w:rFonts w:ascii="Minion Pro"/>
                              <w:color w:val="FFFFFF" w:themeColor="background1"/>
                              <w:sz w:val="24"/>
                            </w:rPr>
                          </w:pPr>
                          <w:r w:rsidRPr="005B3A56">
                            <w:rPr>
                              <w:rFonts w:ascii="Impact"/>
                              <w:color w:val="FFFFFF" w:themeColor="background1"/>
                              <w:sz w:val="52"/>
                            </w:rPr>
                            <w:t xml:space="preserve">Fibromyalgia and Chronic Pain </w:t>
                          </w:r>
                          <w:r w:rsidRPr="005B3A56">
                            <w:rPr>
                              <w:rFonts w:ascii="Minion Pro"/>
                              <w:color w:val="FFFFFF" w:themeColor="background1"/>
                              <w:sz w:val="24"/>
                            </w:rPr>
                            <w:t>(June 15-16, 2016   Philadelphia, USA)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35pt;margin-top:48.3pt;width:515.95pt;height:40.1pt;z-index:-4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" filled="f" stroked="f">
              <v:textbox inset="0,0,0,0">
                <w:txbxContent>
                  <w:p w:rsidR="00AE3E37" w:rsidRPr="005B3A56" w:rsidRDefault="00A9710C">
                    <w:pPr>
                      <w:pStyle w:val="BodyText"/>
                      <w:spacing w:line="187" w:lineRule="exact"/>
                      <w:ind w:left="20" w:right="-10"/>
                      <w:rPr>
                        <w:rFonts w:ascii="Myriad Pro"/>
                        <w:color w:val="FFFFFF" w:themeColor="background1"/>
                      </w:rPr>
                    </w:pPr>
                    <w:r w:rsidRPr="005B3A56">
                      <w:rPr>
                        <w:rFonts w:ascii="Myriad Pro"/>
                        <w:color w:val="FFFFFF" w:themeColor="background1"/>
                      </w:rPr>
                      <w:t>International Conference on</w:t>
                    </w:r>
                  </w:p>
                  <w:p w:rsidR="00AE3E37" w:rsidRPr="005B3A56" w:rsidRDefault="00A9710C">
                    <w:pPr>
                      <w:spacing w:line="614" w:lineRule="exact"/>
                      <w:ind w:left="20" w:right="-10"/>
                      <w:rPr>
                        <w:rFonts w:ascii="Minion Pro"/>
                        <w:color w:val="FFFFFF" w:themeColor="background1"/>
                        <w:sz w:val="24"/>
                      </w:rPr>
                    </w:pPr>
                    <w:r w:rsidRPr="005B3A56">
                      <w:rPr>
                        <w:rFonts w:ascii="Impact"/>
                        <w:color w:val="FFFFFF" w:themeColor="background1"/>
                        <w:sz w:val="52"/>
                      </w:rPr>
                      <w:t xml:space="preserve">Fibromyalgia and Chronic Pain </w:t>
                    </w:r>
                    <w:r w:rsidRPr="005B3A56">
                      <w:rPr>
                        <w:rFonts w:ascii="Minion Pro"/>
                        <w:color w:val="FFFFFF" w:themeColor="background1"/>
                        <w:sz w:val="24"/>
                      </w:rPr>
                      <w:t>(June 15-16, 2016   Philadelphia, USA)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80552"/>
    <w:multiLevelType w:val="hybridMultilevel"/>
    <w:tmpl w:val="7EDE6B1A"/>
    <w:lvl w:ilvl="0" w:tplc="3CF4AF62">
      <w:start w:val="1"/>
      <w:numFmt w:val="decimal"/>
      <w:lvlText w:val="%1."/>
      <w:lvlJc w:val="left"/>
      <w:pPr>
        <w:ind w:left="383" w:hanging="284"/>
        <w:jc w:val="left"/>
      </w:pPr>
      <w:rPr>
        <w:rFonts w:ascii="Calibri" w:eastAsia="Calibri" w:hAnsi="Calibri" w:cs="Calibri" w:hint="default"/>
        <w:spacing w:val="-16"/>
        <w:w w:val="100"/>
        <w:sz w:val="18"/>
        <w:szCs w:val="18"/>
      </w:rPr>
    </w:lvl>
    <w:lvl w:ilvl="1" w:tplc="C60E89D2">
      <w:start w:val="1"/>
      <w:numFmt w:val="bullet"/>
      <w:lvlText w:val="•"/>
      <w:lvlJc w:val="left"/>
      <w:pPr>
        <w:ind w:left="877" w:hanging="284"/>
      </w:pPr>
      <w:rPr>
        <w:rFonts w:hint="default"/>
      </w:rPr>
    </w:lvl>
    <w:lvl w:ilvl="2" w:tplc="9E4C3810">
      <w:start w:val="1"/>
      <w:numFmt w:val="bullet"/>
      <w:lvlText w:val="•"/>
      <w:lvlJc w:val="left"/>
      <w:pPr>
        <w:ind w:left="1374" w:hanging="284"/>
      </w:pPr>
      <w:rPr>
        <w:rFonts w:hint="default"/>
      </w:rPr>
    </w:lvl>
    <w:lvl w:ilvl="3" w:tplc="27FEBB2C">
      <w:start w:val="1"/>
      <w:numFmt w:val="bullet"/>
      <w:lvlText w:val="•"/>
      <w:lvlJc w:val="left"/>
      <w:pPr>
        <w:ind w:left="1871" w:hanging="284"/>
      </w:pPr>
      <w:rPr>
        <w:rFonts w:hint="default"/>
      </w:rPr>
    </w:lvl>
    <w:lvl w:ilvl="4" w:tplc="40E042A8">
      <w:start w:val="1"/>
      <w:numFmt w:val="bullet"/>
      <w:lvlText w:val="•"/>
      <w:lvlJc w:val="left"/>
      <w:pPr>
        <w:ind w:left="2369" w:hanging="284"/>
      </w:pPr>
      <w:rPr>
        <w:rFonts w:hint="default"/>
      </w:rPr>
    </w:lvl>
    <w:lvl w:ilvl="5" w:tplc="80EC61F2">
      <w:start w:val="1"/>
      <w:numFmt w:val="bullet"/>
      <w:lvlText w:val="•"/>
      <w:lvlJc w:val="left"/>
      <w:pPr>
        <w:ind w:left="2866" w:hanging="284"/>
      </w:pPr>
      <w:rPr>
        <w:rFonts w:hint="default"/>
      </w:rPr>
    </w:lvl>
    <w:lvl w:ilvl="6" w:tplc="F60232E2">
      <w:start w:val="1"/>
      <w:numFmt w:val="bullet"/>
      <w:lvlText w:val="•"/>
      <w:lvlJc w:val="left"/>
      <w:pPr>
        <w:ind w:left="3363" w:hanging="284"/>
      </w:pPr>
      <w:rPr>
        <w:rFonts w:hint="default"/>
      </w:rPr>
    </w:lvl>
    <w:lvl w:ilvl="7" w:tplc="69AE9EC2">
      <w:start w:val="1"/>
      <w:numFmt w:val="bullet"/>
      <w:lvlText w:val="•"/>
      <w:lvlJc w:val="left"/>
      <w:pPr>
        <w:ind w:left="3860" w:hanging="284"/>
      </w:pPr>
      <w:rPr>
        <w:rFonts w:hint="default"/>
      </w:rPr>
    </w:lvl>
    <w:lvl w:ilvl="8" w:tplc="16D69236">
      <w:start w:val="1"/>
      <w:numFmt w:val="bullet"/>
      <w:lvlText w:val="•"/>
      <w:lvlJc w:val="left"/>
      <w:pPr>
        <w:ind w:left="4358" w:hanging="284"/>
      </w:pPr>
      <w:rPr>
        <w:rFonts w:hint="default"/>
      </w:rPr>
    </w:lvl>
  </w:abstractNum>
  <w:abstractNum w:abstractNumId="1">
    <w:nsid w:val="5B5223B8"/>
    <w:multiLevelType w:val="hybridMultilevel"/>
    <w:tmpl w:val="1F60F210"/>
    <w:lvl w:ilvl="0" w:tplc="D952B2B2">
      <w:start w:val="1"/>
      <w:numFmt w:val="decimal"/>
      <w:lvlText w:val="%1."/>
      <w:lvlJc w:val="left"/>
      <w:pPr>
        <w:ind w:left="383" w:hanging="284"/>
        <w:jc w:val="left"/>
      </w:pPr>
      <w:rPr>
        <w:rFonts w:ascii="Calibri" w:eastAsia="Calibri" w:hAnsi="Calibri" w:cs="Calibri" w:hint="default"/>
        <w:spacing w:val="-16"/>
        <w:w w:val="100"/>
        <w:sz w:val="18"/>
        <w:szCs w:val="18"/>
      </w:rPr>
    </w:lvl>
    <w:lvl w:ilvl="1" w:tplc="C85C2D86">
      <w:start w:val="1"/>
      <w:numFmt w:val="bullet"/>
      <w:lvlText w:val="•"/>
      <w:lvlJc w:val="left"/>
      <w:pPr>
        <w:ind w:left="875" w:hanging="284"/>
      </w:pPr>
      <w:rPr>
        <w:rFonts w:hint="default"/>
      </w:rPr>
    </w:lvl>
    <w:lvl w:ilvl="2" w:tplc="D9F2D516">
      <w:start w:val="1"/>
      <w:numFmt w:val="bullet"/>
      <w:lvlText w:val="•"/>
      <w:lvlJc w:val="left"/>
      <w:pPr>
        <w:ind w:left="1370" w:hanging="284"/>
      </w:pPr>
      <w:rPr>
        <w:rFonts w:hint="default"/>
      </w:rPr>
    </w:lvl>
    <w:lvl w:ilvl="3" w:tplc="317238B6">
      <w:start w:val="1"/>
      <w:numFmt w:val="bullet"/>
      <w:lvlText w:val="•"/>
      <w:lvlJc w:val="left"/>
      <w:pPr>
        <w:ind w:left="1865" w:hanging="284"/>
      </w:pPr>
      <w:rPr>
        <w:rFonts w:hint="default"/>
      </w:rPr>
    </w:lvl>
    <w:lvl w:ilvl="4" w:tplc="F17CB840">
      <w:start w:val="1"/>
      <w:numFmt w:val="bullet"/>
      <w:lvlText w:val="•"/>
      <w:lvlJc w:val="left"/>
      <w:pPr>
        <w:ind w:left="2361" w:hanging="284"/>
      </w:pPr>
      <w:rPr>
        <w:rFonts w:hint="default"/>
      </w:rPr>
    </w:lvl>
    <w:lvl w:ilvl="5" w:tplc="FB766700">
      <w:start w:val="1"/>
      <w:numFmt w:val="bullet"/>
      <w:lvlText w:val="•"/>
      <w:lvlJc w:val="left"/>
      <w:pPr>
        <w:ind w:left="2856" w:hanging="284"/>
      </w:pPr>
      <w:rPr>
        <w:rFonts w:hint="default"/>
      </w:rPr>
    </w:lvl>
    <w:lvl w:ilvl="6" w:tplc="E05CA76A">
      <w:start w:val="1"/>
      <w:numFmt w:val="bullet"/>
      <w:lvlText w:val="•"/>
      <w:lvlJc w:val="left"/>
      <w:pPr>
        <w:ind w:left="3351" w:hanging="284"/>
      </w:pPr>
      <w:rPr>
        <w:rFonts w:hint="default"/>
      </w:rPr>
    </w:lvl>
    <w:lvl w:ilvl="7" w:tplc="18E2DC68">
      <w:start w:val="1"/>
      <w:numFmt w:val="bullet"/>
      <w:lvlText w:val="•"/>
      <w:lvlJc w:val="left"/>
      <w:pPr>
        <w:ind w:left="3846" w:hanging="284"/>
      </w:pPr>
      <w:rPr>
        <w:rFonts w:hint="default"/>
      </w:rPr>
    </w:lvl>
    <w:lvl w:ilvl="8" w:tplc="05528CD8">
      <w:start w:val="1"/>
      <w:numFmt w:val="bullet"/>
      <w:lvlText w:val="•"/>
      <w:lvlJc w:val="left"/>
      <w:pPr>
        <w:ind w:left="4342" w:hanging="2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E37"/>
    <w:rsid w:val="00017B1B"/>
    <w:rsid w:val="00036842"/>
    <w:rsid w:val="000A188E"/>
    <w:rsid w:val="000B68EC"/>
    <w:rsid w:val="000D5B41"/>
    <w:rsid w:val="000E2911"/>
    <w:rsid w:val="000F1222"/>
    <w:rsid w:val="001263DF"/>
    <w:rsid w:val="0015325B"/>
    <w:rsid w:val="00180804"/>
    <w:rsid w:val="00182922"/>
    <w:rsid w:val="001D547E"/>
    <w:rsid w:val="00285294"/>
    <w:rsid w:val="002A741B"/>
    <w:rsid w:val="002B1F69"/>
    <w:rsid w:val="00387B3F"/>
    <w:rsid w:val="003C5982"/>
    <w:rsid w:val="00404E5B"/>
    <w:rsid w:val="00414F7B"/>
    <w:rsid w:val="004355DC"/>
    <w:rsid w:val="004749B4"/>
    <w:rsid w:val="00475B8A"/>
    <w:rsid w:val="00485C0D"/>
    <w:rsid w:val="004F3523"/>
    <w:rsid w:val="005B3A56"/>
    <w:rsid w:val="005E567C"/>
    <w:rsid w:val="005F5938"/>
    <w:rsid w:val="006060CE"/>
    <w:rsid w:val="0063497F"/>
    <w:rsid w:val="0068649F"/>
    <w:rsid w:val="00740994"/>
    <w:rsid w:val="007610B6"/>
    <w:rsid w:val="007D2CC0"/>
    <w:rsid w:val="007E5DDF"/>
    <w:rsid w:val="0081314B"/>
    <w:rsid w:val="00865E84"/>
    <w:rsid w:val="00873DF0"/>
    <w:rsid w:val="00881168"/>
    <w:rsid w:val="008C2E28"/>
    <w:rsid w:val="0092324A"/>
    <w:rsid w:val="00933703"/>
    <w:rsid w:val="009B2D44"/>
    <w:rsid w:val="00A45685"/>
    <w:rsid w:val="00A52CB9"/>
    <w:rsid w:val="00A7340E"/>
    <w:rsid w:val="00A9710C"/>
    <w:rsid w:val="00AD34A1"/>
    <w:rsid w:val="00AE0AD8"/>
    <w:rsid w:val="00AE3E37"/>
    <w:rsid w:val="00AE6C30"/>
    <w:rsid w:val="00B21A57"/>
    <w:rsid w:val="00B86CD9"/>
    <w:rsid w:val="00BB7ED9"/>
    <w:rsid w:val="00BC6011"/>
    <w:rsid w:val="00BD6B89"/>
    <w:rsid w:val="00BF52BC"/>
    <w:rsid w:val="00C33602"/>
    <w:rsid w:val="00C96DA4"/>
    <w:rsid w:val="00CD6F55"/>
    <w:rsid w:val="00D04B62"/>
    <w:rsid w:val="00DA0950"/>
    <w:rsid w:val="00DB0404"/>
    <w:rsid w:val="00DC78F8"/>
    <w:rsid w:val="00DE5A28"/>
    <w:rsid w:val="00E7597B"/>
    <w:rsid w:val="00EB0D79"/>
    <w:rsid w:val="00EF42FE"/>
    <w:rsid w:val="00F27C86"/>
    <w:rsid w:val="00F421DA"/>
    <w:rsid w:val="00F72EEA"/>
    <w:rsid w:val="00F84CAE"/>
    <w:rsid w:val="00FB7399"/>
    <w:rsid w:val="00FF31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D6F55"/>
    <w:rPr>
      <w:rFonts w:ascii="Tw Cen MT" w:eastAsia="Tw Cen MT" w:hAnsi="Tw Cen MT" w:cs="Tw Cen MT"/>
    </w:rPr>
  </w:style>
  <w:style w:type="paragraph" w:styleId="Heading1">
    <w:name w:val="heading 1"/>
    <w:basedOn w:val="Normal"/>
    <w:uiPriority w:val="1"/>
    <w:qFormat/>
    <w:rsid w:val="00CD6F55"/>
    <w:pPr>
      <w:spacing w:before="47" w:line="400" w:lineRule="exact"/>
      <w:ind w:left="100"/>
      <w:outlineLvl w:val="0"/>
    </w:pPr>
    <w:rPr>
      <w:rFonts w:ascii="Minion Pro" w:eastAsia="Minion Pro" w:hAnsi="Minion Pro" w:cs="Minion Pro"/>
      <w:b/>
      <w:bCs/>
      <w:sz w:val="36"/>
      <w:szCs w:val="36"/>
    </w:rPr>
  </w:style>
  <w:style w:type="paragraph" w:styleId="Heading2">
    <w:name w:val="heading 2"/>
    <w:basedOn w:val="Normal"/>
    <w:uiPriority w:val="1"/>
    <w:qFormat/>
    <w:rsid w:val="00CD6F55"/>
    <w:pPr>
      <w:ind w:left="100"/>
      <w:outlineLvl w:val="1"/>
    </w:pPr>
    <w:rPr>
      <w:rFonts w:ascii="Minion Pro" w:eastAsia="Minion Pro" w:hAnsi="Minion Pro" w:cs="Minion Pro"/>
      <w:sz w:val="24"/>
      <w:szCs w:val="24"/>
    </w:rPr>
  </w:style>
  <w:style w:type="paragraph" w:styleId="Heading3">
    <w:name w:val="heading 3"/>
    <w:basedOn w:val="Normal"/>
    <w:uiPriority w:val="1"/>
    <w:qFormat/>
    <w:rsid w:val="00CD6F55"/>
    <w:pPr>
      <w:ind w:left="100"/>
      <w:outlineLvl w:val="2"/>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CD6F55"/>
    <w:rPr>
      <w:sz w:val="18"/>
      <w:szCs w:val="18"/>
    </w:rPr>
  </w:style>
  <w:style w:type="paragraph" w:styleId="ListParagraph">
    <w:name w:val="List Paragraph"/>
    <w:basedOn w:val="Normal"/>
    <w:uiPriority w:val="1"/>
    <w:qFormat/>
    <w:rsid w:val="00CD6F55"/>
    <w:pPr>
      <w:spacing w:before="90" w:line="200" w:lineRule="exact"/>
      <w:ind w:left="383" w:hanging="283"/>
      <w:jc w:val="both"/>
    </w:pPr>
    <w:rPr>
      <w:rFonts w:ascii="Calibri" w:eastAsia="Calibri" w:hAnsi="Calibri" w:cs="Calibri"/>
    </w:rPr>
  </w:style>
  <w:style w:type="paragraph" w:customStyle="1" w:styleId="TableParagraph">
    <w:name w:val="Table Paragraph"/>
    <w:basedOn w:val="Normal"/>
    <w:uiPriority w:val="1"/>
    <w:qFormat/>
    <w:rsid w:val="00CD6F55"/>
  </w:style>
  <w:style w:type="paragraph" w:styleId="Header">
    <w:name w:val="header"/>
    <w:basedOn w:val="Normal"/>
    <w:link w:val="HeaderChar"/>
    <w:uiPriority w:val="99"/>
    <w:unhideWhenUsed/>
    <w:rsid w:val="005B3A56"/>
    <w:pPr>
      <w:tabs>
        <w:tab w:val="center" w:pos="4513"/>
        <w:tab w:val="right" w:pos="9026"/>
      </w:tabs>
    </w:pPr>
  </w:style>
  <w:style w:type="character" w:customStyle="1" w:styleId="HeaderChar">
    <w:name w:val="Header Char"/>
    <w:basedOn w:val="DefaultParagraphFont"/>
    <w:link w:val="Header"/>
    <w:uiPriority w:val="99"/>
    <w:rsid w:val="005B3A56"/>
    <w:rPr>
      <w:rFonts w:ascii="Tw Cen MT" w:eastAsia="Tw Cen MT" w:hAnsi="Tw Cen MT" w:cs="Tw Cen MT"/>
    </w:rPr>
  </w:style>
  <w:style w:type="paragraph" w:styleId="Footer">
    <w:name w:val="footer"/>
    <w:basedOn w:val="Normal"/>
    <w:link w:val="FooterChar"/>
    <w:uiPriority w:val="99"/>
    <w:unhideWhenUsed/>
    <w:rsid w:val="005B3A56"/>
    <w:pPr>
      <w:tabs>
        <w:tab w:val="center" w:pos="4513"/>
        <w:tab w:val="right" w:pos="9026"/>
      </w:tabs>
    </w:pPr>
  </w:style>
  <w:style w:type="character" w:customStyle="1" w:styleId="FooterChar">
    <w:name w:val="Footer Char"/>
    <w:basedOn w:val="DefaultParagraphFont"/>
    <w:link w:val="Footer"/>
    <w:uiPriority w:val="99"/>
    <w:rsid w:val="005B3A56"/>
    <w:rPr>
      <w:rFonts w:ascii="Tw Cen MT" w:eastAsia="Tw Cen MT" w:hAnsi="Tw Cen MT" w:cs="Tw Cen MT"/>
    </w:rPr>
  </w:style>
  <w:style w:type="paragraph" w:styleId="BalloonText">
    <w:name w:val="Balloon Text"/>
    <w:basedOn w:val="Normal"/>
    <w:link w:val="BalloonTextChar"/>
    <w:uiPriority w:val="99"/>
    <w:semiHidden/>
    <w:unhideWhenUsed/>
    <w:rsid w:val="004F3523"/>
    <w:rPr>
      <w:rFonts w:ascii="Tahoma" w:hAnsi="Tahoma" w:cs="Tahoma"/>
      <w:sz w:val="16"/>
      <w:szCs w:val="16"/>
    </w:rPr>
  </w:style>
  <w:style w:type="character" w:customStyle="1" w:styleId="BalloonTextChar">
    <w:name w:val="Balloon Text Char"/>
    <w:basedOn w:val="DefaultParagraphFont"/>
    <w:link w:val="BalloonText"/>
    <w:uiPriority w:val="99"/>
    <w:semiHidden/>
    <w:rsid w:val="004F3523"/>
    <w:rPr>
      <w:rFonts w:ascii="Tahoma" w:eastAsia="Tw Cen MT" w:hAnsi="Tahoma" w:cs="Tahoma"/>
      <w:sz w:val="16"/>
      <w:szCs w:val="16"/>
    </w:rPr>
  </w:style>
  <w:style w:type="character" w:styleId="Hyperlink">
    <w:name w:val="Hyperlink"/>
    <w:basedOn w:val="DefaultParagraphFont"/>
    <w:uiPriority w:val="99"/>
    <w:unhideWhenUsed/>
    <w:rsid w:val="007E5D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D6F55"/>
    <w:rPr>
      <w:rFonts w:ascii="Tw Cen MT" w:eastAsia="Tw Cen MT" w:hAnsi="Tw Cen MT" w:cs="Tw Cen MT"/>
    </w:rPr>
  </w:style>
  <w:style w:type="paragraph" w:styleId="Heading1">
    <w:name w:val="heading 1"/>
    <w:basedOn w:val="Normal"/>
    <w:uiPriority w:val="1"/>
    <w:qFormat/>
    <w:rsid w:val="00CD6F55"/>
    <w:pPr>
      <w:spacing w:before="47" w:line="400" w:lineRule="exact"/>
      <w:ind w:left="100"/>
      <w:outlineLvl w:val="0"/>
    </w:pPr>
    <w:rPr>
      <w:rFonts w:ascii="Minion Pro" w:eastAsia="Minion Pro" w:hAnsi="Minion Pro" w:cs="Minion Pro"/>
      <w:b/>
      <w:bCs/>
      <w:sz w:val="36"/>
      <w:szCs w:val="36"/>
    </w:rPr>
  </w:style>
  <w:style w:type="paragraph" w:styleId="Heading2">
    <w:name w:val="heading 2"/>
    <w:basedOn w:val="Normal"/>
    <w:uiPriority w:val="1"/>
    <w:qFormat/>
    <w:rsid w:val="00CD6F55"/>
    <w:pPr>
      <w:ind w:left="100"/>
      <w:outlineLvl w:val="1"/>
    </w:pPr>
    <w:rPr>
      <w:rFonts w:ascii="Minion Pro" w:eastAsia="Minion Pro" w:hAnsi="Minion Pro" w:cs="Minion Pro"/>
      <w:sz w:val="24"/>
      <w:szCs w:val="24"/>
    </w:rPr>
  </w:style>
  <w:style w:type="paragraph" w:styleId="Heading3">
    <w:name w:val="heading 3"/>
    <w:basedOn w:val="Normal"/>
    <w:uiPriority w:val="1"/>
    <w:qFormat/>
    <w:rsid w:val="00CD6F55"/>
    <w:pPr>
      <w:ind w:left="100"/>
      <w:outlineLvl w:val="2"/>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CD6F55"/>
    <w:rPr>
      <w:sz w:val="18"/>
      <w:szCs w:val="18"/>
    </w:rPr>
  </w:style>
  <w:style w:type="paragraph" w:styleId="ListParagraph">
    <w:name w:val="List Paragraph"/>
    <w:basedOn w:val="Normal"/>
    <w:uiPriority w:val="1"/>
    <w:qFormat/>
    <w:rsid w:val="00CD6F55"/>
    <w:pPr>
      <w:spacing w:before="90" w:line="200" w:lineRule="exact"/>
      <w:ind w:left="383" w:hanging="283"/>
      <w:jc w:val="both"/>
    </w:pPr>
    <w:rPr>
      <w:rFonts w:ascii="Calibri" w:eastAsia="Calibri" w:hAnsi="Calibri" w:cs="Calibri"/>
    </w:rPr>
  </w:style>
  <w:style w:type="paragraph" w:customStyle="1" w:styleId="TableParagraph">
    <w:name w:val="Table Paragraph"/>
    <w:basedOn w:val="Normal"/>
    <w:uiPriority w:val="1"/>
    <w:qFormat/>
    <w:rsid w:val="00CD6F55"/>
  </w:style>
  <w:style w:type="paragraph" w:styleId="Header">
    <w:name w:val="header"/>
    <w:basedOn w:val="Normal"/>
    <w:link w:val="HeaderChar"/>
    <w:uiPriority w:val="99"/>
    <w:unhideWhenUsed/>
    <w:rsid w:val="005B3A56"/>
    <w:pPr>
      <w:tabs>
        <w:tab w:val="center" w:pos="4513"/>
        <w:tab w:val="right" w:pos="9026"/>
      </w:tabs>
    </w:pPr>
  </w:style>
  <w:style w:type="character" w:customStyle="1" w:styleId="HeaderChar">
    <w:name w:val="Header Char"/>
    <w:basedOn w:val="DefaultParagraphFont"/>
    <w:link w:val="Header"/>
    <w:uiPriority w:val="99"/>
    <w:rsid w:val="005B3A56"/>
    <w:rPr>
      <w:rFonts w:ascii="Tw Cen MT" w:eastAsia="Tw Cen MT" w:hAnsi="Tw Cen MT" w:cs="Tw Cen MT"/>
    </w:rPr>
  </w:style>
  <w:style w:type="paragraph" w:styleId="Footer">
    <w:name w:val="footer"/>
    <w:basedOn w:val="Normal"/>
    <w:link w:val="FooterChar"/>
    <w:uiPriority w:val="99"/>
    <w:unhideWhenUsed/>
    <w:rsid w:val="005B3A56"/>
    <w:pPr>
      <w:tabs>
        <w:tab w:val="center" w:pos="4513"/>
        <w:tab w:val="right" w:pos="9026"/>
      </w:tabs>
    </w:pPr>
  </w:style>
  <w:style w:type="character" w:customStyle="1" w:styleId="FooterChar">
    <w:name w:val="Footer Char"/>
    <w:basedOn w:val="DefaultParagraphFont"/>
    <w:link w:val="Footer"/>
    <w:uiPriority w:val="99"/>
    <w:rsid w:val="005B3A56"/>
    <w:rPr>
      <w:rFonts w:ascii="Tw Cen MT" w:eastAsia="Tw Cen MT" w:hAnsi="Tw Cen MT" w:cs="Tw Cen MT"/>
    </w:rPr>
  </w:style>
  <w:style w:type="paragraph" w:styleId="BalloonText">
    <w:name w:val="Balloon Text"/>
    <w:basedOn w:val="Normal"/>
    <w:link w:val="BalloonTextChar"/>
    <w:uiPriority w:val="99"/>
    <w:semiHidden/>
    <w:unhideWhenUsed/>
    <w:rsid w:val="004F3523"/>
    <w:rPr>
      <w:rFonts w:ascii="Tahoma" w:hAnsi="Tahoma" w:cs="Tahoma"/>
      <w:sz w:val="16"/>
      <w:szCs w:val="16"/>
    </w:rPr>
  </w:style>
  <w:style w:type="character" w:customStyle="1" w:styleId="BalloonTextChar">
    <w:name w:val="Balloon Text Char"/>
    <w:basedOn w:val="DefaultParagraphFont"/>
    <w:link w:val="BalloonText"/>
    <w:uiPriority w:val="99"/>
    <w:semiHidden/>
    <w:rsid w:val="004F3523"/>
    <w:rPr>
      <w:rFonts w:ascii="Tahoma" w:eastAsia="Tw Cen MT" w:hAnsi="Tahoma" w:cs="Tahoma"/>
      <w:sz w:val="16"/>
      <w:szCs w:val="16"/>
    </w:rPr>
  </w:style>
  <w:style w:type="character" w:styleId="Hyperlink">
    <w:name w:val="Hyperlink"/>
    <w:basedOn w:val="DefaultParagraphFont"/>
    <w:uiPriority w:val="99"/>
    <w:unhideWhenUsed/>
    <w:rsid w:val="007E5D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emworozi@gmail.com" TargetMode="External"/><Relationship Id="rId18" Type="http://schemas.openxmlformats.org/officeDocument/2006/relationships/hyperlink" Target="http://www.ncbi.nlm.nih.gov/pubmed/19147798"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www.ncbi.nlm.nih.gov/pubmed/19147798"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www.ncbi.nlm.nih.gov/pubmed/1570546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nicef.org/cbsc/index_42347.html" TargetMode="External"/><Relationship Id="rId5" Type="http://schemas.openxmlformats.org/officeDocument/2006/relationships/webSettings" Target="webSettings.xml"/><Relationship Id="rId15" Type="http://schemas.openxmlformats.org/officeDocument/2006/relationships/hyperlink" Target="mailto:drdeanna.rpm@hotmail.com" TargetMode="External"/><Relationship Id="rId10" Type="http://schemas.openxmlformats.org/officeDocument/2006/relationships/image" Target="media/image1.emf"/><Relationship Id="rId19" Type="http://schemas.openxmlformats.org/officeDocument/2006/relationships/hyperlink" Target="http://www.ncbi.nlm.nih.gov/pubmed/1570546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dx.doi.org/10.4172/2167-0846.C1.006" TargetMode="External"/><Relationship Id="rId1" Type="http://schemas.openxmlformats.org/officeDocument/2006/relationships/hyperlink" Target="http://dx.doi.org/10.4172/2167-0846.C1.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1228</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mehaboobi shaik</dc:creator>
  <cp:lastModifiedBy>Dr MWOROZI</cp:lastModifiedBy>
  <cp:revision>2</cp:revision>
  <cp:lastPrinted>2017-01-20T07:24:00Z</cp:lastPrinted>
  <dcterms:created xsi:type="dcterms:W3CDTF">2017-07-25T06:48:00Z</dcterms:created>
  <dcterms:modified xsi:type="dcterms:W3CDTF">2017-07-25T06:48:00Z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2016-08-23T00:00:00Z</vt:filetime>
  </property>
  <property fmtid="{D5CDD505-2E9C-101B-9397-08002B2CF9AE}" pid="3" name="Creator">
    <vt:lpwstr>Adobe InDesign CC 2015 (Windows)</vt:lpwstr>
  </property>
  <property fmtid="{D5CDD505-2E9C-101B-9397-08002B2CF9AE}" pid="4" name="LastSaved">
    <vt:filetime>2016-08-23T00:00:00Z</vt:filetime>
  </property>
</Properties>
</file>